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1C2B5" w14:textId="20B4AABB"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"Medida Provisória e controle de constitucionalidade: relevância, urgência e pertinência temática"</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579654AD" w14:textId="6D125258" w:rsidR="00AE697D" w:rsidRPr="00024398" w:rsidRDefault="00AE697D" w:rsidP="00517126">
      <w:pPr>
        <w:spacing w:after="0" w:line="240" w:lineRule="auto"/>
        <w:rPr>
          <w:rFonts w:ascii="Cambria" w:hAnsi="Cambria" w:cs="Arial"/>
        </w:rPr>
      </w:pPr>
    </w:p>
    <w:p w14:paraId="485F51B2" w14:textId="7E602648"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"Provisional Measure and constitutionality control: relevance, urgency and thematic pertinence"</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638BA3F1" w14:textId="158212AA" w:rsidR="00AE697D" w:rsidRPr="00024398" w:rsidRDefault="00AE697D" w:rsidP="00517126">
      <w:pPr>
        <w:spacing w:after="0" w:line="240" w:lineRule="auto"/>
        <w:rPr>
          <w:rFonts w:ascii="Cambria" w:hAnsi="Cambria" w:cs="Arial"/>
        </w:rPr>
      </w:pPr>
    </w:p>
    <w:p w14:paraId="7D16DD7E" w14:textId="08B6344C"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751B6A3F" w14:textId="68C82464"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2E247C5D" w14:textId="1C058DB4" w:rsidR="00AE697D" w:rsidRPr="00024398" w:rsidRDefault="00AE697D" w:rsidP="00517126">
      <w:pPr>
        <w:spacing w:after="0" w:line="240" w:lineRule="auto"/>
        <w:rPr>
          <w:rFonts w:ascii="Cambria" w:hAnsi="Cambria" w:cs="Arial"/>
        </w:rPr>
      </w:pPr>
    </w:p>
    <w:p w14:paraId="7D80664E" w14:textId="026B0C4A"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Anna Carolina Vilela de Brito</w:t>
      </w:r>
      <w:r w:rsidR="00E56CF4" w:rsidRPr="00024398">
        <w:rPr>
          <w:rStyle w:val="Refdenotaderodap"/>
          <w:rFonts w:ascii="Cambria" w:eastAsia="Arial" w:hAnsi="Cambria" w:cs="Arial"/>
          <w:b/>
          <w:bCs/>
          <w:color w:val="000000" w:themeColor="text1"/>
          <w:sz w:val="16"/>
          <w:szCs w:val="16"/>
        </w:rPr>
        <w:footnoteReference w:id="2"/>
      </w:r>
    </w:p>
    <w:p w14:paraId="493EC16C" w14:textId="171F28B4"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https://orcid.org/0009-0002-7391-9045</w:t>
      </w:r>
    </w:p>
    <w:p w14:paraId="52C6439B" w14:textId="7C3CDB3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http://lattes.cnpq.br/8207339018608388</w:t>
      </w:r>
    </w:p>
    <w:p w14:paraId="66464634" w14:textId="1949C785"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067FDFB0" w14:textId="103B3B2B"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carolvbrito@gmail.com</w:t>
      </w:r>
    </w:p>
    <w:p w14:paraId="28448FF9" w14:textId="70AD8308" w:rsidR="00AE697D" w:rsidRPr="00024398" w:rsidRDefault="00AE697D" w:rsidP="00517126">
      <w:pPr>
        <w:spacing w:after="0" w:line="240" w:lineRule="auto"/>
        <w:rPr>
          <w:rFonts w:ascii="Cambria" w:hAnsi="Cambria" w:cs="Arial"/>
        </w:rPr>
      </w:pPr>
    </w:p>
    <w:p w14:paraId="7AEFDAB1" w14:textId="204FD4E3"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25AFECB1" w14:textId="064D9878"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"Medida Provisória e controle de constitucionalidade: relevância, urgência e pertinência temática". Este artigo é de autoria de: Clarice Gomes de Oliveira e José Levi Mello do Amaral Júnior. O artigo aqui resenhado foi publicado no periódico "Revista Brasileira de Políticas Públicas", no Vol. 7, edição n. 3, dez., 2017.</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649BD97A" w14:textId="33319EED" w:rsidR="00AE697D" w:rsidRPr="00024398" w:rsidRDefault="00AE697D" w:rsidP="00517126">
      <w:pPr>
        <w:spacing w:after="0" w:line="240" w:lineRule="auto"/>
        <w:rPr>
          <w:rFonts w:ascii="Cambria" w:hAnsi="Cambria" w:cs="Arial"/>
        </w:rPr>
      </w:pPr>
    </w:p>
    <w:p w14:paraId="5E9A07AA" w14:textId="394D1DD4"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Medida Provisória. Controle. Constitucionalidade. Relevância. Urgência. Pertinência Temática.</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40ED1753" w14:textId="695F3CE5" w:rsidR="00AE697D" w:rsidRPr="00024398" w:rsidRDefault="00AE697D" w:rsidP="00517126">
      <w:pPr>
        <w:spacing w:after="0" w:line="240" w:lineRule="auto"/>
        <w:rPr>
          <w:rFonts w:ascii="Cambria" w:hAnsi="Cambria" w:cs="Arial"/>
        </w:rPr>
      </w:pPr>
    </w:p>
    <w:p w14:paraId="0ABE740C" w14:textId="580F708C"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51FD85E6" w14:textId="1A4F1A07"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"Provisional Measure and Constitutionality Control: Relevance, Urgency, and Thematic Pertinence." This article was authored by Clarice Gomes de Oliveira and José Levi Mello do Amaral Júnior. The article reviewed here was published in the journal "Revista Brasileira de Políticas Públicas", in Vol. 7, Issue No. 3, Dec. 2017.</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11DB3AA0" w14:textId="2CE373AD" w:rsidR="00AE697D" w:rsidRPr="00024398" w:rsidRDefault="00AE697D" w:rsidP="00517126">
      <w:pPr>
        <w:spacing w:after="0" w:line="240" w:lineRule="auto"/>
        <w:rPr>
          <w:rFonts w:ascii="Cambria" w:hAnsi="Cambria" w:cs="Arial"/>
        </w:rPr>
      </w:pPr>
    </w:p>
    <w:p w14:paraId="761D941D" w14:textId="14E57127"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Provisional Measure. Control. Constitutionality. Relevance. Urgency. Thematic Relevance.</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6C47ABEA" w14:textId="115FF9F0" w:rsidR="00AE697D" w:rsidRPr="00024398" w:rsidRDefault="00AE697D" w:rsidP="00517126">
      <w:pPr>
        <w:spacing w:after="0" w:line="240" w:lineRule="auto"/>
        <w:rPr>
          <w:rFonts w:ascii="Cambria" w:hAnsi="Cambria" w:cs="Arial"/>
        </w:rPr>
      </w:pPr>
    </w:p>
    <w:p w14:paraId="2E45087F" w14:textId="4915D5D2"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478AED2E" w14:textId="2D4E9A2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"Medida Provisória e controle de constitucionalidade: relevância, urgência e pertinência temática". Esse artigo é de autoria de: Clarice Gomes de Oliveira e José Levi Mello do Amaral Júnior. O artigo aqui resenhado foi publicado no periódico "Revista Brasileira de Políticas Públicas", no Vol. 7, edição n. 3, dez., 2017.</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9DBD9BF" w14:textId="7F105C8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Antes de abordar a temática apresentada no artigo, cabe apresentar um breve currículo acadêmico e profissional dos autores da obra. Isso porque muito do que compõe a formação ou a experiência de um autor contribui para a reflexão temática dos temas aos quais se propõe a escrever.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40E3A12" w14:textId="0821F76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primeira autora, Clarice Gomes de Oliveira, é Doutora em Direito pelo Centro Universitário de Brasília (UniCeub), com estágio de pesquisa na Université de Sorbonne - Paris 1. Possui mestrado em Ciência Política pela Universidade de Brasília (2007), especialização em Políticas públicas e Gestão governamental pela Escola Nacional de Administração Pública (2002) e graduação em Ciência Política pela Universidade de Brasília (2002). Foi assessora da chefia de gabinete do Ministério da Fazenda, diretora de Processo Legislativo no Ministério da Justiça e Conselheira Titular no Conselho Nacional de Direitos Humanos. O currículo completo da autora pode ser acessado em: http://lattes.cnpq.br/5193579222184040.</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D152F5A" w14:textId="723B10B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segundo autor é José Levi Mello do Amaral Junior, Doutor em Direito pela Universidade de São Paulo (USP) e Mestre em Direito pela Universidade Federal do Rio Grande do Sul (UFRGS). É professor associado de Direito Constitucional e vice-chefe do Departamento de Direito do Estado da USP. É professor do Programa de Mestrado e Doutorado em Direito do Centro Universitário de Brasília (UniCeub) e procurador da Fazenda Nacional, cedido ao Conselho Administrativo de Defesa Econômica (Cade). Foi Secretário-Geral da Presidência do Tribunal Superior Eleitoral, Advogado-Geral da União, Procurador-Geral da Fazenda Nacional, Secretário-Executivo do Ministério da Justiça e Consultor-Geral da União. O currículo completo do autor pode ser acessado em: http://lattes.cnpq.br/5380555198973509.</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2F54F94" w14:textId="62828E5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resenhado é dividido nos seguintes capítulos: Resumo; Palavras-chave; Abstract; Keywords; 1) Introdução; 2) O reconhecimento da faculdade precípua do Executivo julgar a relevância e a urgência; 3) A inconstitucionalidade da não pertinência temática no Projeto de Lei de Conversão; 4)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4E28948" w14:textId="3E1BE7C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manuscrito examina a medida provisória sob a perspectiva do controle de constitucionalidade, analisando os principais precedentes do Supremo Tribunal Federal (STF) que consolidaram a jurisprudência sobre: (i) a prerrogativa do Poder Executivo de avaliar a relevância e a urgência para a edição da medida provisória, sem prejuízo da possibilidade de controle judicial posterior; e (ii) a inconstitucionalidade das emendas sem pertinência temática com o texto original, inseridas durante o processo de conversão em lei no Congresso Nacional. A pesquisa destaca os principais casos que contribuíram para a consolidação da jurisprudência na matéria.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783A198" w14:textId="1948C67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do artigo é "Medida provisória e controle de constitucionalidade: relevância, urgência e pertinência temática". Discutiu o seguinte problema: "A medida provisória sob a ótica do controle de constitucionalidade nos aspectos de relevância, urgência e pertinência temática". O artigo partiu da hipótese: "Os requisitos para a edição e a tramitação de medida provisória operam no sentido de limitar, de alguma forma, o uso do instituto em prol da preservação dos mandamentos constitucionais que orientam a democracia brasileira".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62B1B3A" w14:textId="6659291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Neste artigo, o objetivo geral foi analisar a constitucionalidade da avaliação dos critérios de relevância e urgência da medida provisória pelo Poder Executivo e a validade de emendas parlamentares sem pertinência temática. Os objetivos específicos foram: "analisar o posicionamento da Corte Suprema, com base nas ações diretas de inconstitucionalidade (ADI), enfatizando os termos dos acórdãos e os principais argumentos que embasam as decisões".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33887B2" w14:textId="110D35A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da pesquisa contou com a seguinte justificativa: "o impacto que a legislação de urgência possui no ordenamento jurídico brasileiro, considerando principalmente o volume produzido nas últimas décadas, e as implicações da jurisdição constitucional".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B811DEB" w14:textId="04D9CD8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para a construção do estudo utilizado no artigo aqui analisado foi a pesquisa jurisprudencial, por meio da análise do entendimento do STF nas ações diretas de inconstitucionalidade referentes à presença dos pressupostos de relevância e urgência na edição de medidas provisórias e à inclusão de matérias alheias ao conteúdo original da medida provisória na fase de avaliação do Poder Legislativo.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2218942" w14:textId="1E2BFBC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introdução do artigo, os autores pertinentemente afirmam que a possibilidade de edição de medida provisória pelo Presidente da República já foi motivo de muitos debates entre o Poder Executivo e o Poder Legislativo no Brasil. Essas divergências resultaram, segundo os autores, na revisão das regras constitucionais que abordam a medida por meio da Emenda Constitucional n.º 32 (BRASIL, 2001), que introduziu modificações para delimitar as hipóteses de edição das medidas provisórias e impedir sua reedição sucessiva.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EB6C16A" w14:textId="7D75054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parte do artigo que analisa a função precípua do Executivo de avaliar a relevância e a urgência das medidas provisórias, os autores, com base nas ações diretas de inconstitucionalidade estudadas, afirmam que a revisão pelo STF é excepcional em relação ao cumprimento desses critérios. Conforme plenamente apontam, os requisitos de relevância e urgência objetivam equilibrar o poder de legislar concedido ao Poder Executivo, mas a análise desses pressupostos configura juízo político, de forma que a participação do STF nesse processo favorece a politização da justiça (AMARAL JUNIOR, 2012).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99A61E" w14:textId="4FE1B1D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apontam, de modo consistente, que o subjetivismo dos conceitos de relevância e urgência dificulta o controle do Congresso e do Judiciário, mas não os afasta por completo (MACIEL; ROCHA, 2005, p. 264). Destacam, de forma precisa, que a relevância envolve avaliação política, mas a urgência admite critérios mais objetivos de análise. Para demonstrar esse entendimento, os autores apresentam o caso da ADI n.º 2.348-9/DF (STF, 2002), na qual o STF, em liminar, pela primeira vez invalidou uma medida provisória por não cumprir o requisito constitucional de urgência. Apresentam também o caso da ADI n.º 2.150/DF (STF, 2007), no qual a corte concluiu que os pressupostos de relevância e urgência são critérios discricionários do Presidente da República, não cabendo a análise do Poder Judiciário, salvo excesso de poder.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D730F0C" w14:textId="19F0FE3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Oliveira e Amaral Junior afirmam ainda, de modo fundamentado, que a conversão da medida provisória em lei inviabiliza a análise do STF sobre os requisitos de relevância e urgência. Segundo eles, o projeto de lei de conversão é uma norma primária autônoma, de modo que mesmo que a medida provisória seja considerada inconstitucional, essa decisão afeta apenas o período de sua vigência, mantendo-se válida a lei de conversão. O artigo apresenta um estudo que concluiu que de 339 ações, apenas onze tiveram a manifestação final da Corte sobre o mérito, nas demais o decurso do tempo foi o principal impeditivo para a conclusão da análise no STF (DA ROS, 2008).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FF62BCF" w14:textId="44E50A5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Diante disso, o artigo destaca o caso da ADI n.º 4.048 (STF, 2010), movida contra a Medida Provisória n.º 405, de 2007 (BRASIL, 2007), que abriu crédito extraordinário em favor de órgãos do Poder Executivo e da Justiça Eleitoral. A petição inicial afirmava que os créditos concedidos não eram de despesas imprevisíveis e urgentes. Os autores destacam que o mérito da questão foi decidido apenas em 2011, sob a relatoria da Ministra Ellen Gracie, que considerou a ação prejudicada, em razão do fim da vigência dos créditos com o encerramento do exercício de 2008.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A339289" w14:textId="545D87A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uma análise perspicaz, os autores destacam que o prosseguimento de ação direta de inconstitucionalidade, após a conversão em lei da medida provisória, depende da natureza do vício. Em caso de vício material, explicam que há duas possibilidades: se o texto da lei de conversão for idêntico ao da medida provisória, não é necessário aditar a inicial, se houver alterações deve ser ajuizada uma nova ação direta de inconstitucionalidade, ficando a anterior prejudicada. Já se a contestação for de aspecto formal, a conversão em lei supre o vício e esvazia o objeto da ação, conforme a jurisprudência predominante.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B048D44" w14:textId="5B44E1C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capítulo que trata da inconstitucionalidade da não pertinência temática no projeto de lei de conversão, os autores destacam bem que a exigência de conexão temática na medida provisória não é importante apenas para evitar os chamados "jabutis" ou "contrabandos legislativos", temas alheios à matéria da medida provisória inseridos por emendas parlamentares, mas para garantir a uniformidade temática da norma em atenção à Lei Complementar n.º 95/1998 (BRASIL, 1998).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B8A5D40" w14:textId="6862E33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Após demonstrar que o Poder Legislativo também adotou um entendimento para exigir a pertinência temática das emendas, o artigo apresenta o julgamento do STF na ADI n.º 5.127/DF (STF, 2015), que questionava a lei resultante da conversão da Medida Provisória n.º 472/2009 (BRASIL, 2009). Segundo os autores, a ação, proposta em 2014, quatro anos após a sanção do projeto de lei de conversão, dizia que era inconstitucional a mudança introduzida sobre a regulamentação da profissão de contador, por não ter relação com os diversos temas tratados na medida.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15A2DF3" w14:textId="669EA45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esclarecem que, ao analisar o caso, os ministros demonstraram uma preocupação com os efeitos retroativos de eventual declaração de inconstitucionalidade no caso, mas entenderam ser necessário estabelecer parâmetros para o futuro. Assim, Oliveira e Amaral Junior explicam que o STF determinou que o Poder Legislativo fosse cientificado sobre o entendimento, com efeitos ex nunc, de que a apresentação de emendas parlamentares sem pertinência temática com a medida provisória não é compatível com a Constituição Federal (BRASIL, 1988). De forma clara e objetiva, o artigo demonstra que, para o Supremo, a inclusão de emendas sem conexão temática compromete o processo legislativo, pois os prazos curtos desse instituto dificultam o exame e a participação social.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1E23507" w14:textId="352CC4E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Para evidenciar a eficácia do posicionamento da Corte, os autores apresentam um estudo que observou que do julgado até o final de 2016, o índice de relatórios apresentados nas Comissões Mistas rejeitando emendas por falta de pertinência temática subiu para 80%, contra os 69% registrados anteriormente (BOTELHO, 2017). O mesmo estudo aponta ainda que, no Senado, a análise da pertinência temática foi adotada somente depois da ADI n.º 5.127/DF (STF, 2015) e resultou em 87% de rejeição de emendas por esse motivo.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95C619B" w14:textId="005DFEB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precisão analítica, os autores aduzem que as decisões do STF em ações diretas de inconstitucionalidade contra as medidas provisórias são importantes para consolidar e revisar a jurisprudência, mas que, na prática, os efeitos dessas decisões se manifestam gradualmente conforme o Congresso Nacional se adapta. Oliveira e Amaral Junior, de forma consistente e fundamentada, concluem que a jurisprudência do STF tem se consolidado no sentido de que o controle de constitucionalidade das medidas provisórias deve ser excepcional. Argumentam que a inconstitucionalidade dos requisitos de relevância e urgência deve ser objetivada, pois o tribunal considera o juízo político do Executivo, e há precedente no sentido de que a conversão em lei impede a revisão judicial. Segundo eles, a inconstitucionalidade por impertinência temática pode ser questionada de forma mais ampla, embora o aspecto jurídico da questão também deva ser demonstrado.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32D0035" w14:textId="47103658" w:rsidR="00AE697D" w:rsidRPr="00024398" w:rsidRDefault="00AE697D" w:rsidP="00517126">
      <w:pPr>
        <w:spacing w:after="0" w:line="240" w:lineRule="auto"/>
        <w:rPr>
          <w:rFonts w:ascii="Cambria" w:hAnsi="Cambria" w:cs="Arial"/>
        </w:rPr>
      </w:pPr>
    </w:p>
    <w:p w14:paraId="57F1442E" w14:textId="21A7CD54"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778EFD25" w14:textId="0B674CB0" w:rsidR="00AE697D" w:rsidRPr="00024398" w:rsidRDefault="00AE697D" w:rsidP="00517126">
      <w:pPr>
        <w:spacing w:after="0" w:line="240" w:lineRule="auto"/>
        <w:rPr>
          <w:rFonts w:ascii="Cambria" w:hAnsi="Cambria" w:cs="Arial"/>
        </w:rPr>
      </w:pPr>
    </w:p>
    <w:p w14:paraId="71FF4E3D" w14:textId="7EFA6CB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AMARAL JUNIOR, José Levi Mello do. Medida Provisória: edição e conversão em lei - teoria e prática. 2 ed., São Paulo: Saraiva, 2012.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BFF1691" w14:textId="5D5AE0EC" w:rsidR="00AE697D" w:rsidRPr="00024398" w:rsidRDefault="00AE697D" w:rsidP="00517126">
      <w:pPr>
        <w:spacing w:after="0" w:line="240" w:lineRule="auto"/>
        <w:rPr>
          <w:rFonts w:ascii="Cambria" w:hAnsi="Cambria" w:cs="Arial"/>
        </w:rPr>
      </w:pPr>
    </w:p>
    <w:p w14:paraId="7EEF0775" w14:textId="726730F7"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BOTELHO, E. R. Medida Provisória - pertinência temática das emendas: impacto do julgamento da ADI 5.127/DF. Âmbito Jurídico, v. 20, n. 123, p. 2014-2017, 2017.</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1558971" w14:textId="5851C799" w:rsidR="00AE697D" w:rsidRPr="00024398" w:rsidRDefault="00AE697D" w:rsidP="00517126">
      <w:pPr>
        <w:spacing w:after="0" w:line="240" w:lineRule="auto"/>
        <w:rPr>
          <w:rFonts w:ascii="Cambria" w:hAnsi="Cambria" w:cs="Arial"/>
        </w:rPr>
      </w:pPr>
    </w:p>
    <w:p w14:paraId="76712C47" w14:textId="5722ED4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Federal. Brasília: Centro Gráfico do Senado Federal, 1988. Disponível em: &lt;www.planalto.gov.br/ccivil_03/constituicao/constituicao.htm&gt;. Acesso em: 15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C98E088" w14:textId="780FABB5" w:rsidR="00AE697D" w:rsidRPr="00024398" w:rsidRDefault="00AE697D" w:rsidP="00517126">
      <w:pPr>
        <w:spacing w:after="0" w:line="240" w:lineRule="auto"/>
        <w:rPr>
          <w:rFonts w:ascii="Cambria" w:hAnsi="Cambria" w:cs="Arial"/>
        </w:rPr>
      </w:pPr>
    </w:p>
    <w:p w14:paraId="75ABE520" w14:textId="5430030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Complementar nº 95, de 26 de fevereiro de 1998. Dispõe sobre a elaboração, a redação, a alteração e a consolidação das leis, conforme determina o art. 59 da Constituição Federal, e dá outras providências. Disponível em: &lt;https://www.planalto.gov.br/ccivil_03/leis/lcp/lcp95.htm&gt;. Acesso em: 10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06EB82A" w14:textId="74233D8B" w:rsidR="00AE697D" w:rsidRPr="00024398" w:rsidRDefault="00AE697D" w:rsidP="00517126">
      <w:pPr>
        <w:spacing w:after="0" w:line="240" w:lineRule="auto"/>
        <w:rPr>
          <w:rFonts w:ascii="Cambria" w:hAnsi="Cambria" w:cs="Arial"/>
        </w:rPr>
      </w:pPr>
    </w:p>
    <w:p w14:paraId="7A71C1CD" w14:textId="4BE717B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Emenda Constitucional nº 32, de 11 de setembro de 2001. Altera dispositivos dos arts. 48, 57, 61, 62, 64, 66, 84, 88 e 246 da Constituição Federal, e dá outras providências. Disponível em: &lt;https://www.planalto.gov.br/ccivil_03/constituicao/emendas/emc/emc32.htm&gt;. Acesso em: 10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95D1D21" w14:textId="3308C61F" w:rsidR="00AE697D" w:rsidRPr="00024398" w:rsidRDefault="00AE697D" w:rsidP="00517126">
      <w:pPr>
        <w:spacing w:after="0" w:line="240" w:lineRule="auto"/>
        <w:rPr>
          <w:rFonts w:ascii="Cambria" w:hAnsi="Cambria" w:cs="Arial"/>
        </w:rPr>
      </w:pPr>
    </w:p>
    <w:p w14:paraId="58C675B9" w14:textId="3CDF373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Medida Provisória nº 405, de 18 de dezembro de 2007. Abre crédito extraordinário, em favor de diversos órgãos do Poder Executivo, no valor global de R$ 5.400.000.000,00, e dá outras providências. Disponível em: &lt;https://www.planalto.gov.br/ccivil_03/_ato2007-2010/2007/mpv/405.htm&gt;. Acesso em: 10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F3881A1" w14:textId="599AA31F" w:rsidR="00AE697D" w:rsidRPr="00024398" w:rsidRDefault="00AE697D" w:rsidP="00517126">
      <w:pPr>
        <w:spacing w:after="0" w:line="240" w:lineRule="auto"/>
        <w:rPr>
          <w:rFonts w:ascii="Cambria" w:hAnsi="Cambria" w:cs="Arial"/>
        </w:rPr>
      </w:pPr>
    </w:p>
    <w:p w14:paraId="0F01F941" w14:textId="20A8C69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Medida Provisória nº 472, de 15 de dezembro de 2009. Dispõe sobre medidas tributárias, altera a legislação do imposto sobre a renda, da contribuição para o PIS/PASEP e da COFINS, e dá outras providências. Disponível em: &lt;https://www.planalto.gov.br/ccivil_03/_ato2007-2010/2009/mpv/472.htm&gt;. Acesso em: 10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E0EB71C" w14:textId="430E95C0" w:rsidR="00AE697D" w:rsidRPr="00024398" w:rsidRDefault="00AE697D" w:rsidP="00517126">
      <w:pPr>
        <w:spacing w:after="0" w:line="240" w:lineRule="auto"/>
        <w:rPr>
          <w:rFonts w:ascii="Cambria" w:hAnsi="Cambria" w:cs="Arial"/>
        </w:rPr>
      </w:pPr>
    </w:p>
    <w:p w14:paraId="03C032ED" w14:textId="3DD0CFC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DA ROS, L. Decretos presidenciais no banco dos réus: análise do controle abstrato de constitucionalidade de medidas provisórias pelo Supremo Tribunal Federal no Brasil (1988-2007). 2008. Dissertação (Mestrado). Universidade Federal do Rio Grande do Sul, Porto Alegre, 2008.</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02DED04" w14:textId="45C84A01" w:rsidR="00AE697D" w:rsidRPr="00024398" w:rsidRDefault="00AE697D" w:rsidP="00517126">
      <w:pPr>
        <w:spacing w:after="0" w:line="240" w:lineRule="auto"/>
        <w:rPr>
          <w:rFonts w:ascii="Cambria" w:hAnsi="Cambria" w:cs="Arial"/>
        </w:rPr>
      </w:pPr>
    </w:p>
    <w:p w14:paraId="797724F2" w14:textId="1ECB556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5F716A3" w14:textId="31AED503" w:rsidR="00AE697D" w:rsidRPr="00024398" w:rsidRDefault="00AE697D" w:rsidP="00517126">
      <w:pPr>
        <w:spacing w:after="0" w:line="240" w:lineRule="auto"/>
        <w:rPr>
          <w:rFonts w:ascii="Cambria" w:hAnsi="Cambria" w:cs="Arial"/>
        </w:rPr>
      </w:pPr>
    </w:p>
    <w:p w14:paraId="662CBA2E" w14:textId="6992C32A"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EF46D9A" w14:textId="47BF6E9E" w:rsidR="00AE697D" w:rsidRPr="00024398" w:rsidRDefault="00AE697D" w:rsidP="00517126">
      <w:pPr>
        <w:spacing w:after="0" w:line="240" w:lineRule="auto"/>
        <w:rPr>
          <w:rFonts w:ascii="Cambria" w:hAnsi="Cambria" w:cs="Arial"/>
        </w:rPr>
      </w:pPr>
    </w:p>
    <w:p w14:paraId="100A213E" w14:textId="44F4F3A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B85938C" w14:textId="12D7B68C" w:rsidR="00AE697D" w:rsidRPr="00024398" w:rsidRDefault="00AE697D" w:rsidP="00517126">
      <w:pPr>
        <w:spacing w:after="0" w:line="240" w:lineRule="auto"/>
        <w:rPr>
          <w:rFonts w:ascii="Cambria" w:hAnsi="Cambria" w:cs="Arial"/>
        </w:rPr>
      </w:pPr>
    </w:p>
    <w:p w14:paraId="115180B6" w14:textId="4A79C0A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327A765" w14:textId="6F982477" w:rsidR="00AE697D" w:rsidRPr="00024398" w:rsidRDefault="00AE697D" w:rsidP="00517126">
      <w:pPr>
        <w:spacing w:after="0" w:line="240" w:lineRule="auto"/>
        <w:rPr>
          <w:rFonts w:ascii="Cambria" w:hAnsi="Cambria" w:cs="Arial"/>
        </w:rPr>
      </w:pPr>
    </w:p>
    <w:p w14:paraId="5A5E2574" w14:textId="22C7F605"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MACIEL, A. F. Medida Provisória e Segurança Jurídica. In: ROCHA, C. L. A. (Ed.). Constituição e Segurança Jurídica. Belo Horizonte: Fórum, 2005. p. 261–264.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51786A4" w14:textId="5D546009" w:rsidR="00AE697D" w:rsidRPr="00024398" w:rsidRDefault="00AE697D" w:rsidP="00517126">
      <w:pPr>
        <w:spacing w:after="0" w:line="240" w:lineRule="auto"/>
        <w:rPr>
          <w:rFonts w:ascii="Cambria" w:hAnsi="Cambria" w:cs="Arial"/>
        </w:rPr>
      </w:pPr>
    </w:p>
    <w:p w14:paraId="328C17D4" w14:textId="0947CB9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STF, Supremo Tribunal Federal. Ação Direta de Inconstitucionalidade n. 2.348-9/DF, de 21 de agosto de 2002. Disponível em: &lt;https://redir.stf.jus.br/paginadorpub/paginador.jsp?docTP=AC&amp;docID=346900&gt;. Acesso em: 2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28BBA5E" w14:textId="375075D5" w:rsidR="00AE697D" w:rsidRPr="00024398" w:rsidRDefault="00AE697D" w:rsidP="00517126">
      <w:pPr>
        <w:spacing w:after="0" w:line="240" w:lineRule="auto"/>
        <w:rPr>
          <w:rFonts w:ascii="Cambria" w:hAnsi="Cambria" w:cs="Arial"/>
        </w:rPr>
      </w:pPr>
    </w:p>
    <w:p w14:paraId="20A2232A" w14:textId="4B2D7FF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STF, Supremo Tribunal Federal. Ação Direta de Inconstitucionalidade n. 2.150/DF, de 05 de setembro de 2007. Disponível em: &lt;https://redir.stf.jus.br/paginadorpub/paginador.jsp?docTP=AC&amp;docID=445586&gt;. Acesso em: 2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F2B05C9" w14:textId="28B3A1B5" w:rsidR="00AE697D" w:rsidRPr="00024398" w:rsidRDefault="00AE697D" w:rsidP="00517126">
      <w:pPr>
        <w:spacing w:after="0" w:line="240" w:lineRule="auto"/>
        <w:rPr>
          <w:rFonts w:ascii="Cambria" w:hAnsi="Cambria" w:cs="Arial"/>
        </w:rPr>
      </w:pPr>
    </w:p>
    <w:p w14:paraId="155A8CCC" w14:textId="001FD855"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STF, Supremo Tribunal Federal. Ação Direta de Inconstitucionalidade n. 4.048/DF, de 18 de março de 2010. Disponível em: &lt;https://redir.stf.jus.br/paginadorpub/paginador.jsp?docTP=TP&amp;docID=612870&gt;. Acesso em: 2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96790D9" w14:textId="7697C5A5" w:rsidR="00AE697D" w:rsidRPr="00024398" w:rsidRDefault="00AE697D" w:rsidP="00517126">
      <w:pPr>
        <w:spacing w:after="0" w:line="240" w:lineRule="auto"/>
        <w:rPr>
          <w:rFonts w:ascii="Cambria" w:hAnsi="Cambria" w:cs="Arial"/>
        </w:rPr>
      </w:pPr>
    </w:p>
    <w:p w14:paraId="13F0A6B5" w14:textId="6F1520AA"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STF, Supremo Tribunal Federal. Ação Direta de Inconstitucionalidade n. 5.127/DF, de 09 de setembro de 2015. Disponível em: &lt;https://redir.stf.jus.br/paginadorpub/paginador.jsp?docTP=TP&amp;docID=754315&gt;. Acesso em: 2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