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797A0" w14:textId="163FDF61"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“Historicidade do Conceito de Organização Criminosa: Da Teoria do Domínio do Fato à Lei N.º 12.850/2013”</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2061270F" w14:textId="1EE07F09" w:rsidR="00AE697D" w:rsidRPr="00024398" w:rsidRDefault="00AE697D" w:rsidP="00517126">
      <w:pPr>
        <w:spacing w:after="0" w:line="240" w:lineRule="auto"/>
        <w:rPr>
          <w:rFonts w:ascii="Cambria" w:hAnsi="Cambria" w:cs="Arial"/>
        </w:rPr>
      </w:pPr>
    </w:p>
    <w:p w14:paraId="7DE9C012" w14:textId="350806E6"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“Historicity of the Concept of Criminal Organization: From the Theory of Domain of Fact to the Law N.° 12.850/2013”.</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62503CD9" w14:textId="2334BD4F" w:rsidR="00AE697D" w:rsidRPr="00024398" w:rsidRDefault="00AE697D" w:rsidP="00517126">
      <w:pPr>
        <w:spacing w:after="0" w:line="240" w:lineRule="auto"/>
        <w:rPr>
          <w:rFonts w:ascii="Cambria" w:hAnsi="Cambria" w:cs="Arial"/>
        </w:rPr>
      </w:pPr>
    </w:p>
    <w:p w14:paraId="2E0F60C4" w14:textId="5D700124"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143C2D41" w14:textId="7A1B040C"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44123/multi.v7i13.1727</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5FA1FF28" w14:textId="5CE809EF" w:rsidR="00AE697D" w:rsidRPr="00024398" w:rsidRDefault="00AE697D" w:rsidP="00517126">
      <w:pPr>
        <w:spacing w:after="0" w:line="240" w:lineRule="auto"/>
        <w:rPr>
          <w:rFonts w:ascii="Cambria" w:hAnsi="Cambria" w:cs="Arial"/>
        </w:rPr>
      </w:pPr>
    </w:p>
    <w:p w14:paraId="5D7BC82F" w14:textId="7F809126"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Brunna Silva Pereira Menezes</w:t>
      </w:r>
      <w:r w:rsidR="00E56CF4" w:rsidRPr="00024398">
        <w:rPr>
          <w:rStyle w:val="Refdenotaderodap"/>
          <w:rFonts w:ascii="Cambria" w:eastAsia="Arial" w:hAnsi="Cambria" w:cs="Arial"/>
          <w:b/>
          <w:bCs/>
          <w:color w:val="000000" w:themeColor="text1"/>
          <w:sz w:val="16"/>
          <w:szCs w:val="16"/>
        </w:rPr>
        <w:footnoteReference w:id="2"/>
      </w:r>
    </w:p>
    <w:p w14:paraId="44AFA3A3" w14:textId="7855C892"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https://orcid.org/0009-0006-9439-6721</w:t>
      </w:r>
    </w:p>
    <w:p w14:paraId="4EFE6054" w14:textId="7461EBE5"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http://lattes.cnpq.br/4041805523767608</w:t>
      </w:r>
    </w:p>
    <w:p w14:paraId="02B587A6" w14:textId="71728585"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74A4E856" w14:textId="48D2552C"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brunnaspmenezes@gmail.com</w:t>
      </w:r>
    </w:p>
    <w:p w14:paraId="092FEF0E" w14:textId="07B58C95" w:rsidR="00AE697D" w:rsidRPr="00024398" w:rsidRDefault="00AE697D" w:rsidP="00517126">
      <w:pPr>
        <w:spacing w:after="0" w:line="240" w:lineRule="auto"/>
        <w:rPr>
          <w:rFonts w:ascii="Cambria" w:hAnsi="Cambria" w:cs="Arial"/>
        </w:rPr>
      </w:pPr>
    </w:p>
    <w:p w14:paraId="64B423F6" w14:textId="6BB9153C"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302FC306" w14:textId="1B82F49D"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designado “Historicidade do Conceito de Organização Criminosa: Da Teoria do Domínio do Fato à Lei N.º 12.850/2013”. Este artigo é de autoria de José Mário Ramos Correia de Araújo. O artigo aqui resenhado foi publicado no periódico “Revista do Sistema Único de Segurança Pública”, Brasília, no Vol. 3, edição n. 1, jul.-dez., 2024.</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5545F339" w14:textId="38E92BEB" w:rsidR="00AE697D" w:rsidRPr="00024398" w:rsidRDefault="00AE697D" w:rsidP="00517126">
      <w:pPr>
        <w:spacing w:after="0" w:line="240" w:lineRule="auto"/>
        <w:rPr>
          <w:rFonts w:ascii="Cambria" w:hAnsi="Cambria" w:cs="Arial"/>
        </w:rPr>
      </w:pPr>
    </w:p>
    <w:p w14:paraId="39F0255A" w14:textId="42F5259B"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organização criminosa; conceitos; domínio do fato.</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0BD776B5" w14:textId="1BF29672" w:rsidR="00AE697D" w:rsidRPr="00024398" w:rsidRDefault="00AE697D" w:rsidP="00517126">
      <w:pPr>
        <w:spacing w:after="0" w:line="240" w:lineRule="auto"/>
        <w:rPr>
          <w:rFonts w:ascii="Cambria" w:hAnsi="Cambria" w:cs="Arial"/>
        </w:rPr>
      </w:pPr>
    </w:p>
    <w:p w14:paraId="23694730" w14:textId="1AE9B411"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25384988" w14:textId="24C3E93B"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designated article “Historicity of the Concept of Criminal Organization: From the Theory of Domain of Fact to the Law No. 12.850/2013”. This article was authored by: José Mário Ramos Correia Araújo. The article reviewed here was published in the journal “Revista do Sistema Único de Segurança Pública”, Brasília, in Vol. 3, issue no. 1, Jul.-Dec., 2024.</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2F5B4EB1" w14:textId="05A51379" w:rsidR="00AE697D" w:rsidRPr="00024398" w:rsidRDefault="00AE697D" w:rsidP="00517126">
      <w:pPr>
        <w:spacing w:after="0" w:line="240" w:lineRule="auto"/>
        <w:rPr>
          <w:rFonts w:ascii="Cambria" w:hAnsi="Cambria" w:cs="Arial"/>
        </w:rPr>
      </w:pPr>
    </w:p>
    <w:p w14:paraId="765CA0AC" w14:textId="760CF1A4"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criminal organizations; concepts; domain of fact.</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67D654B0" w14:textId="5901F44F" w:rsidR="00AE697D" w:rsidRPr="00024398" w:rsidRDefault="00AE697D" w:rsidP="00517126">
      <w:pPr>
        <w:spacing w:after="0" w:line="240" w:lineRule="auto"/>
        <w:rPr>
          <w:rFonts w:ascii="Cambria" w:hAnsi="Cambria" w:cs="Arial"/>
        </w:rPr>
      </w:pPr>
    </w:p>
    <w:p w14:paraId="56B9779A" w14:textId="07B4D2DD"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2595171B" w14:textId="30D078F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“Historicidade do Conceito de Organização Criminosa: Da Teoria do Domínio do Fato à Lei N.º 12.850/2013”. Este artigo é de autoria de José Mário Ramos Correia de Araújo. O artigo aqui resenhado foi publicado no periódico “Revista do Sistema Único de Segurança Pública”, no Ano 2024, Vol.3, n.1, jul.-dez., 2024.</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E677D05" w14:textId="7F93ED7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José Mário Ramos Correia de Araújo possui amplo conhecimento em Direito Penal e Processual Penal. É doutorando em Teorias da Decisão Jurídica pela UFPE. É Mestre em Historicidade das Ideias Penais pela FADIC, título obtido em 2020. Também é especialista em Direito Penal pela FADIC e em Direito Público pela FCHPE. Concluiu o bacharelado em Direito pela FCHPE em 2018 e é licenciado em História pela UFPE desde 2007. Atua como professor de Direito Penal e Processual Penal Militar na pós-graduação da FADIC. Leciona ainda Direito Penal, Direito Processual Penal e Criminologia na pós-graduação do IPANEC e na UNIAESO. É presidente da Comissão de Prática Penal da ABCCRIM, em Recife, e secretário da Comissão de Direito Aeroespacial da OAB-PE. Além da carreira acadêmica, exerce a advocacia criminal em Recife.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CE80B76" w14:textId="4777C02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Sobre a autora do artigo, é importante conhecer um pouco do currículo de Brunna Silva Pereira Menezes. Ela é graduanda em Direito pela Faculdade Processus. Seu currículo resumido está disponível nos links a seguir: http://lattes.cnpq.br/4041805523767608 e https://orcid.org/0009-0006-9439-6721.</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0B57E8E" w14:textId="11821D4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é dividido nos seguintes capítulos: Resumo, Palavras-chave, Abstract, Keywords, Introdução, Desenvolvimento, Conclusão e Referências. Quanto ao desenvolvimento, foi dividido em subcapítulos: O fenômeno da Criminalidade Organizada: Historicidade e Perspectivas Conceituais; A Importância dos Conceitos no Direito e suas Implicações para o juízo de subsunção e Organizações Criminosas: Da Teoria do Domínio do Fato ao Conceito Formal da Lei 12.850/2013 (BRASIL, 2013).</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F0A7A2E" w14:textId="0C6C9AA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do artigo é “Historicidade do Conceito de Organização Criminosa: Da Teoria do Domínio do Fato à Lei n.º 12.850/2013”. Discutiu o seguinte problema: “a repercussão do conceito de organização criminosa” no Direito brasileiro, especialmente diante da ausência de definição legal anterior à Lei n.º 12.850/2013 (BRASIL, 2013) e das consequências trazidas por essa lei para a segurança jurídica e a persecução penal”. O artigo partiu da seguinte hipótese: “a edição da Lei n.º 12.850/2013 (BRASIL, 2013) supriu a lacuna conceitual existente, proporcionando maior segurança jurídica e efetividade à persecução penal”.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BCD35E4" w14:textId="6947424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de Araújo apresenta na introdução, de forma clara e consistente, o objeto de estudo voltado para a análise do conceito de organizações criminosas e para a evolução de sua definição no âmbito do Direito brasileiro. O autor inicia destacando que o enfrentamento da criminalidade organizada ocorre principalmente por meio do Direito penal, com aplicação de penas privativas de liberdade e de multa.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5258113" w14:textId="53229A6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Antes da promulgação da Lei n.º 12.850/2013 (BRASIL, 2013), conhecida como Lei das Organizações Criminosas, a doutrina buscava definir o tema com base na Teoria do Domínio do Fato de Claus Roxin. Utilizava conceitos amplos e abertos. Essa falta de delimitação gerava insegurança jurídica e permitia decisões arbitrárias. Com a nova lei, essas lacunas foram preenchidas. O texto legal trouxe maior clareza conceitual e previsibilidade para as decisões judiciais.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0419D05" w14:textId="613E46D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autor resgata, no segundo capítulo, o percurso histórico das organizações criminosas, observando sua expansão além das fronteiras nacionais e sua presença em diferentes continentes. No contexto brasileiro, identifica que essas organizações se concentram, majoritariamente, no tráfico de drogas, sobretudo na exportação de cocaína para a Europa e os Estados Unidos. Todavia, ressalta que suas atividades não se limitam aos entorpecentes, podendo iniciar com pequenos delitos e evoluir para o domínio de amplos setores econômicos.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532D53F" w14:textId="0DB1184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Araújo distingue dois modelos de atuação com clareza: o mafioso e o empresarial. O primeiro caracteriza-se por uma estrutura hierárquica rígida, rituais de iniciação, busca sistemática pelo lucro, domínio territorial e prática reiterada de crimes. O modelo empresarial, por sua vez, tem como propósito exclusivo o ganho financeiro, sem incorporar os símbolos e tradições típicos das organizações mafiosas. Seus integrantes costumam ser profissionais qualificados, especializados em determinados delitos, que atingem diferentes perfis de vítimas.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1F3B7B4" w14:textId="309049D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Para reforçar a compreensão teórica, o autor cita a classificação proposta por Antonio Brito Júnior, segundo a qual as organizações criminosas podem ser divididas em três espécies: (i) associações compostas por indivíduos de mesma classe social e ideologia; (ii) grupos voltados essencialmente para fins lucrativos; e (iii) organizações formadas por agentes públicos que utilizam o cargo para cometer crimes contra a Administração.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2B01944" w14:textId="30155A1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Araújo observa que as transformações sociais e os avanços tecnológicos exigiram adaptações legislativas, especialmente no âmbito penal. Essas mudanças foram necessárias para adequar o ordenamento jurídico ao contexto globalizado. No início, as organizações criminosas eram enquadradas pelo instituto do concurso de pessoas. Mais tarde, o Código Penal passou a prever o crime de quadrilha ou bando. Somente com a Lei n.º 12.850/2013 (BRASIL, 2013) o conceito de associação criminosa foi consolidado. Essa consolidação trouxe maior precisão e segurança normativa.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8B38262" w14:textId="1787F86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autor enfatiza a importância da clareza conceitual no Direito penal. Ela permite a correta tipificação das condutas e a delimitação adequada das responsabilidades penais. Com base nos estudos de Ingeborg Puppe, ele apresenta a classificação dos conceitos jurídicos em descritivos, vagos, valorativos e presumidos. Cada categoria cumpre uma função específica na formulação das normas. O texto ainda menciona doutrinadores que propõem critérios cumulativos e alternativos. Destaca que os conceitos tipológicos, formados pela disjunção “ou”, ganharam relevância no combate ao crime organizado. Apesar disso, ainda podem gerar certa insegurança interpretativa.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218DDD6" w14:textId="2D1F4F7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autor observa que, antes da Lei n.º 12.850/2013 (BRASIL, 2013), a definição de organização criminosa era meramente doutrinária e baseada na teoria do domínio do fato, sem respaldo legal específico. A tipificação autônoma introduzida pela nova lei, portanto, representou um importante avanço ao estabelecer parâmetros objetivos para a punição de associações estruturadas e hierarquizadas voltadas para a prática de crimes.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C752391" w14:textId="3BCE512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texto aprofunda a discussão ao abordar o domínio da organização, definido como a identificação do “autor por trás do autor” dentro de estruturas criminosas. Para sua configuração, exige-se liderança efetiva, estrutura organizada, funções bem distribuídas e poder de comando capaz de garantir o cumprimento das ordens. O executor, nesse contexto, é substituível, o que reforça o caráter sistêmico da organização criminosa.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B42AD42" w14:textId="37B7C86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Com base na teoria de Roxin, Araújo explora o conceito de domínio funcional do fato, segundo o qual a coautoria decorre da divisão de tarefas e da essencialidade da contribuição de cada agente para o resultado criminoso. A execução conjunta pressupõe consciência do fim comum e participação concreta, não se limitando a atos preparatórios. A desistência de um dos partícipes pode inviabilizar a empreitada, evidenciando a relevância funcional de cada papel desempenhado.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0A6067E" w14:textId="2E43715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Dessa forma, o autor explica que o executor é compreendido como “autor por trás do autor”, enquanto a coautoria caracteriza-se pela divisão funcional de tarefas, ampliando a responsabilidade penal dentro do concurso de pessoas. Com a promulgação da Lei n.º 12.850/2013 (BRASIL, 2013), um conceito formal de organização criminosa passou a ser adotado: associação de quatro ou mais pessoas, estruturada e com divisão de tarefas (formal ou informal), voltada para a prática de crimes puníveis com pena superior a quatro anos ou de caráter transnacional.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6C128F8" w14:textId="3A598BA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Segundo o autor, esse modelo fortalece a segurança jurídica. A lei passou a empregar elementos descritivos, cumulativos e disjuntivos que favorecem a interpretação objetiva. Amparado em Larenz, Araújo explica que o raciocínio jurídico segue uma estrutura lógica, mas possui caráter retórico. Isso exige uma análise cuidadosa do suporte fático. Antes da nova lei, os crimes cometidos em coautoria eram punidos com base no tipo penal correspondente, acrescido da causa de aumento pelo concurso de pessoas. Após 2013, passou-se a punir a simples participação em organização criminosa, mesmo sem a prática de atos executórios. Essa mudança ampliou as hipóteses de persecução penal, mas com critérios mais claros e restritivos.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070E5A5" w14:textId="0C7C510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autor conclui que o enfrentamento da criminalidade organizada é um desafio histórico do Direito como instrumento repressivo. A antiga aplicação da teoria do domínio do fato, embora importante, gerava insegurança jurídica e ampliava o arbítrio judicial por falta de precisão conceitual. A Lei n.º 12.850/2013 (BRASIL, 2013) estabeleceu um conceito formal e objetivo de organização criminosa. Essa definição trouxe estabilidade normativa e maior previsibilidade para as decisões judiciais. O texto legal fortaleceu a aplicação justa do Direito penal e assegurou maior respeito aos direitos e garantias individuais.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74836B6" w14:textId="53721B9B" w:rsidR="00AE697D" w:rsidRPr="00024398" w:rsidRDefault="00AE697D" w:rsidP="00517126">
      <w:pPr>
        <w:spacing w:after="0" w:line="240" w:lineRule="auto"/>
        <w:rPr>
          <w:rFonts w:ascii="Cambria" w:hAnsi="Cambria" w:cs="Arial"/>
        </w:rPr>
      </w:pPr>
    </w:p>
    <w:p w14:paraId="025AC5A6" w14:textId="02A4E458"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61C2D5FC" w14:textId="1ED5C06F" w:rsidR="00AE697D" w:rsidRPr="00024398" w:rsidRDefault="00AE697D" w:rsidP="00517126">
      <w:pPr>
        <w:spacing w:after="0" w:line="240" w:lineRule="auto"/>
        <w:rPr>
          <w:rFonts w:ascii="Cambria" w:hAnsi="Cambria" w:cs="Arial"/>
        </w:rPr>
      </w:pPr>
    </w:p>
    <w:p w14:paraId="02CDB7E4" w14:textId="7BBF966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ARAÚJO, José Mário Ramos Correia de. Historicidade do conceito de organização criminosa: Da teoria do domínio do fato à lei nº 12.850/2013. Revista do Sistema Único de Segurança Pública, Brasília, Brasil, v. 3, n. 1, jul.-dez, 2024. Disponível em: https://revistasusp.mj.gov.br/susp/index.php/revistasusp/article/view/609. Acesso em: 7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9DEE5B4" w14:textId="59B4EE0D" w:rsidR="00AE697D" w:rsidRPr="00024398" w:rsidRDefault="00AE697D" w:rsidP="00517126">
      <w:pPr>
        <w:spacing w:after="0" w:line="240" w:lineRule="auto"/>
        <w:rPr>
          <w:rFonts w:ascii="Cambria" w:hAnsi="Cambria" w:cs="Arial"/>
        </w:rPr>
      </w:pPr>
    </w:p>
    <w:p w14:paraId="019B7537" w14:textId="5891DAD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12.850, de 2 de agosto de 2013. Define organização criminosa e dispõe sobre a investigação criminal, os meios de obtenção da prova, infrações penais correlatas e o procedimento criminal; Altera o Decreto-Lei nº 2.848, de 7 de dezembro de 1940 (Código Penal); Revoga a Lei nº 9.034, de 3 de maio de 1995; e dá outras providências. Disponível em: https://www.planalto.gov.br/ccivil_03/_ato2011-2014/2013/lei/l12850.htm. Acesso em: 7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028C16C" w14:textId="6736D6C2" w:rsidR="00AE697D" w:rsidRPr="00024398" w:rsidRDefault="00AE697D" w:rsidP="00517126">
      <w:pPr>
        <w:spacing w:after="0" w:line="240" w:lineRule="auto"/>
        <w:rPr>
          <w:rFonts w:ascii="Cambria" w:hAnsi="Cambria" w:cs="Arial"/>
        </w:rPr>
      </w:pPr>
    </w:p>
    <w:p w14:paraId="4BF1F220" w14:textId="3131216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 3, n. 7, p. 95–107, 2020. DOI: 10.5281/zenodo.3969652. Disponível em: http://revistajrg.com/index.php/jrg/article/view/41. Acesso em: 7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F60B1D0" w14:textId="5FDBE58A" w:rsidR="00AE697D" w:rsidRPr="00024398" w:rsidRDefault="00AE697D" w:rsidP="00517126">
      <w:pPr>
        <w:spacing w:after="0" w:line="240" w:lineRule="auto"/>
        <w:rPr>
          <w:rFonts w:ascii="Cambria" w:hAnsi="Cambria" w:cs="Arial"/>
        </w:rPr>
      </w:pPr>
    </w:p>
    <w:p w14:paraId="251C95DE" w14:textId="4813E71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 2, n. 5, p. 29–55, 2019. Disponível em: http://revistajrg.com/index.php/jrg/article/view/122. Acesso em: 7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E196EA0" w14:textId="7304A9C3" w:rsidR="00AE697D" w:rsidRPr="00024398" w:rsidRDefault="00AE697D" w:rsidP="00517126">
      <w:pPr>
        <w:spacing w:after="0" w:line="240" w:lineRule="auto"/>
        <w:rPr>
          <w:rFonts w:ascii="Cambria" w:hAnsi="Cambria" w:cs="Arial"/>
        </w:rPr>
      </w:pPr>
    </w:p>
    <w:p w14:paraId="7DDE4841" w14:textId="071BB83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 2, n. 5, p. 01–28, 2019. Disponível em: http://revistajrg.com/index.php/jrg/article/view/121. Acesso em: 7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E441D68" w14:textId="50FF30CE" w:rsidR="00AE697D" w:rsidRPr="00024398" w:rsidRDefault="00AE697D" w:rsidP="00517126">
      <w:pPr>
        <w:spacing w:after="0" w:line="240" w:lineRule="auto"/>
        <w:rPr>
          <w:rFonts w:ascii="Cambria" w:hAnsi="Cambria" w:cs="Arial"/>
        </w:rPr>
      </w:pPr>
    </w:p>
    <w:p w14:paraId="482DA04B" w14:textId="331DF711"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 5, n. 9, p. 88–118, 2021. DOI: 10.5281/zenodo.5150811. Disponível em: http://portalcoleta.com.br/index.php/rcc/article/view/58. Acesso em: 7 out.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 Resende.</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