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5BA1B" w14:textId="2875389D" w:rsidR="00AE697D" w:rsidRPr="00024398" w:rsidRDefault="21D6F76C" w:rsidP="00517126">
      <w:pPr>
        <w:spacing w:after="0" w:line="240" w:lineRule="auto"/>
        <w:jc w:val="both"/>
        <w:rPr>
          <w:rFonts w:ascii="Cambria" w:hAnsi="Cambria" w:cs="Arial"/>
          <w:b/>
          <w:bCs/>
          <w:color w:val="0A2F41" w:themeColor="accent1" w:themeShade="80"/>
        </w:rPr>
      </w:pPr>
      <w:r>
        <w:rPr>
          <w:rFonts w:ascii="Cambria" w:hAnsi="Cambria" w:cs="Arial"/>
          <w:b/>
          <w:bCs/>
          <w:color w:val="0A2F41" w:themeColor="accent1" w:themeShade="80"/>
        </w:rPr>
        <w:t xml:space="preserve">Resenha do artigo intitulado “Controle de Constitucionalidade no Brasil e Argentina – as Origens e Influências do Controle de Constitucionalidade sob uma Perspectiva Comparada”</w:t>
      </w:r>
    </w:p>
    <w:p w14:paraId="6E151D05" w14:textId="6B8F8F4D" w:rsidR="00AE697D" w:rsidRPr="00024398" w:rsidRDefault="00AE697D" w:rsidP="00517126">
      <w:pPr>
        <w:spacing w:after="0" w:line="240" w:lineRule="auto"/>
        <w:rPr>
          <w:rFonts w:ascii="Cambria" w:hAnsi="Cambria" w:cs="Arial"/>
        </w:rPr>
      </w:pPr>
    </w:p>
    <w:p w14:paraId="0FD5C78A" w14:textId="16D2AB1B" w:rsidR="00AE697D" w:rsidRPr="00024398" w:rsidRDefault="21D6F76C" w:rsidP="40960C0D">
      <w:pPr>
        <w:spacing w:after="0"/>
        <w:jc w:val="both"/>
        <w:rPr>
          <w:rFonts w:ascii="Cambria" w:hAnsi="Cambria" w:cs="Arial"/>
          <w:lang w:val="en-US"/>
        </w:rPr>
      </w:pPr>
      <w:r>
        <w:rPr>
          <w:rFonts w:ascii="Cambria" w:eastAsia="Arial" w:hAnsi="Cambria" w:cs="Arial"/>
          <w:color w:val="595959" w:themeColor="text1" w:themeTint="A6"/>
          <w:sz w:val="22"/>
          <w:szCs w:val="22"/>
          <w:lang w:val="en-US"/>
        </w:rPr>
        <w:t xml:space="preserve">Review of the article entitled “Control of Constitutionality in Brazil and Argentina – The Origins and Influences of Judicial Review under a Comparative Perspective”</w:t>
      </w:r>
    </w:p>
    <w:p w14:paraId="33DDAE97" w14:textId="278BD2CC" w:rsidR="00AE697D" w:rsidRPr="00024398" w:rsidRDefault="00AE697D" w:rsidP="00517126">
      <w:pPr>
        <w:spacing w:after="0" w:line="240" w:lineRule="auto"/>
        <w:rPr>
          <w:rFonts w:ascii="Cambria" w:hAnsi="Cambria" w:cs="Arial"/>
        </w:rPr>
      </w:pPr>
    </w:p>
    <w:p w14:paraId="7F5F3B2B" w14:textId="4B91D109" w:rsidR="00024398"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lang w:val="en-US"/>
        </w:rPr>
      </w:pPr>
    </w:p>
    <w:p w14:paraId="74173D7A" w14:textId="43DC1F7A" w:rsidR="00AE697D"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rPr>
      </w:pPr>
      <w:r>
        <w:rPr>
          <w:rFonts w:ascii="Cambria" w:eastAsia="Arial" w:hAnsi="Cambria" w:cs="Arial"/>
          <w:b/>
          <w:bCs/>
          <w:color w:val="000000"/>
          <w:sz w:val="13"/>
          <w:szCs w:val="13"/>
          <w:lang w:val="pt-PT" w:eastAsia="pt-BR" w:bidi="hi-IN"/>
        </w:rPr>
        <w:t>ARK:</w:t>
      </w:r>
      <w:r>
        <w:rPr>
          <w:rFonts w:ascii="Cambria" w:eastAsia="Arial" w:hAnsi="Cambria" w:cs="Arial"/>
          <w:color w:val="000000"/>
          <w:sz w:val="13"/>
          <w:szCs w:val="13"/>
          <w:lang w:val="pt-PT" w:eastAsia="pt-BR" w:bidi="hi-IN"/>
        </w:rPr>
        <w:t xml:space="preserve"> 44123/multi.v7i13.1726</w:t>
      </w:r>
    </w:p>
    <w:p w14:paraId="405E599D" w14:textId="49D7A811" w:rsidR="00AE697D" w:rsidRPr="00024398" w:rsidRDefault="00AE697D" w:rsidP="00517126">
      <w:pPr>
        <w:spacing w:after="0" w:line="240" w:lineRule="auto"/>
        <w:rPr>
          <w:rFonts w:ascii="Cambria" w:hAnsi="Cambria" w:cs="Arial"/>
        </w:rPr>
      </w:pPr>
    </w:p>
    <w:p w14:paraId="05B90642" w14:textId="6704BC56" w:rsidR="00AE697D" w:rsidRPr="00024398" w:rsidRDefault="21D6F76C" w:rsidP="00024398">
      <w:pPr>
        <w:spacing w:after="0" w:line="240" w:lineRule="auto"/>
        <w:rPr>
          <w:rFonts w:ascii="Cambria" w:eastAsia="Arial" w:hAnsi="Cambria" w:cs="Arial"/>
          <w:b/>
          <w:bCs/>
          <w:color w:val="000000" w:themeColor="text1"/>
          <w:sz w:val="16"/>
          <w:szCs w:val="16"/>
        </w:rPr>
      </w:pPr>
      <w:r>
        <w:rPr>
          <w:rFonts w:ascii="Cambria" w:eastAsia="Arial" w:hAnsi="Cambria" w:cs="Arial"/>
          <w:b/>
          <w:bCs/>
          <w:color w:val="000000" w:themeColor="text1"/>
          <w:sz w:val="16"/>
          <w:szCs w:val="16"/>
        </w:rPr>
        <w:t>Alan Almeida Lima</w:t>
      </w:r>
      <w:r>
        <w:rPr>
          <w:rStyle w:val="Refdenotaderodap"/>
          <w:rFonts w:ascii="Cambria" w:eastAsia="Arial" w:hAnsi="Cambria" w:cs="Arial"/>
          <w:b/>
          <w:bCs/>
          <w:color w:val="000000" w:themeColor="text1"/>
          <w:sz w:val="16"/>
          <w:szCs w:val="16"/>
        </w:rPr>
        <w:footnoteReference w:id="2"/>
      </w:r>
    </w:p>
    <w:p w14:paraId="7501B26C" w14:textId="2D47C881" w:rsidR="00AE697D" w:rsidRPr="00024398" w:rsidRDefault="21D6F76C" w:rsidP="00024398">
      <w:pPr>
        <w:spacing w:after="0" w:line="240" w:lineRule="auto"/>
        <w:rPr>
          <w:rFonts w:ascii="Cambria" w:hAnsi="Cambria" w:cs="Arial"/>
          <w:sz w:val="16"/>
          <w:szCs w:val="16"/>
        </w:rPr>
      </w:pPr>
      <w:r>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Pr>
          <w:rFonts w:ascii="Cambria" w:hAnsi="Cambria" w:cs="Arial"/>
          <w:sz w:val="16"/>
          <w:szCs w:val="16"/>
        </w:rPr>
        <w:t xml:space="preserve"> https://orcid.org/0009-0005-2435-8642</w:t>
      </w:r>
    </w:p>
    <w:p w14:paraId="7AF3F3DA" w14:textId="0769E751" w:rsidR="00AE697D" w:rsidRPr="00024398" w:rsidRDefault="21D6F76C" w:rsidP="00024398">
      <w:pPr>
        <w:spacing w:after="0" w:line="240" w:lineRule="auto"/>
        <w:rPr>
          <w:rFonts w:ascii="Cambria" w:hAnsi="Cambria" w:cs="Arial"/>
          <w:sz w:val="16"/>
          <w:szCs w:val="16"/>
        </w:rPr>
      </w:pPr>
      <w:r>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Pr>
          <w:rFonts w:ascii="Cambria" w:hAnsi="Cambria" w:cs="Arial"/>
          <w:sz w:val="16"/>
          <w:szCs w:val="16"/>
        </w:rPr>
        <w:t xml:space="preserve"> https://lattes.cnpq.br/7513613408637747</w:t>
      </w:r>
    </w:p>
    <w:p w14:paraId="10477C37" w14:textId="1358388E" w:rsidR="00AE697D" w:rsidRPr="00024398" w:rsidRDefault="21D6F76C" w:rsidP="00024398">
      <w:pPr>
        <w:spacing w:after="0" w:line="240" w:lineRule="auto"/>
        <w:rPr>
          <w:rFonts w:ascii="Cambria" w:hAnsi="Cambria" w:cs="Arial"/>
          <w:sz w:val="16"/>
          <w:szCs w:val="16"/>
        </w:rPr>
      </w:pPr>
      <w:r>
        <w:rPr>
          <w:rFonts w:ascii="Cambria" w:eastAsia="Arial" w:hAnsi="Cambria" w:cs="Arial"/>
          <w:color w:val="000000" w:themeColor="text1"/>
          <w:sz w:val="16"/>
          <w:szCs w:val="16"/>
        </w:rPr>
        <w:t xml:space="preserve">UniProcessus – Centro Universitário Processus, DF, Brasil</w:t>
      </w:r>
    </w:p>
    <w:p w14:paraId="685EB7CD" w14:textId="1F46C2B0" w:rsidR="00AE697D" w:rsidRPr="00024398" w:rsidRDefault="21D6F76C" w:rsidP="00024398">
      <w:pPr>
        <w:spacing w:after="0" w:line="240" w:lineRule="auto"/>
        <w:rPr>
          <w:rFonts w:ascii="Cambria" w:hAnsi="Cambria" w:cs="Arial"/>
          <w:sz w:val="16"/>
          <w:szCs w:val="16"/>
        </w:rPr>
      </w:pPr>
      <w:r>
        <w:rPr>
          <w:rFonts w:ascii="Cambria" w:eastAsia="Arial" w:hAnsi="Cambria" w:cs="Arial"/>
          <w:color w:val="000000" w:themeColor="text1"/>
          <w:sz w:val="16"/>
          <w:szCs w:val="16"/>
        </w:rPr>
        <w:t xml:space="preserve">E-mail: </w:t>
      </w:r>
      <w:r>
        <w:rPr>
          <w:rFonts w:ascii="Cambria" w:hAnsi="Cambria" w:cs="Arial"/>
          <w:sz w:val="16"/>
          <w:szCs w:val="16"/>
        </w:rPr>
        <w:t>alan.aal@hotmail.com</w:t>
      </w:r>
    </w:p>
    <w:p w14:paraId="28CF64BE" w14:textId="2C2C07FD" w:rsidR="00AE697D" w:rsidRPr="00024398" w:rsidRDefault="00AE697D" w:rsidP="00517126">
      <w:pPr>
        <w:spacing w:after="0" w:line="240" w:lineRule="auto"/>
        <w:rPr>
          <w:rFonts w:ascii="Cambria" w:hAnsi="Cambria" w:cs="Arial"/>
        </w:rPr>
      </w:pPr>
    </w:p>
    <w:p w14:paraId="799BABA2" w14:textId="56A5ECF2" w:rsidR="00AE697D" w:rsidRPr="00024398" w:rsidRDefault="21D6F76C" w:rsidP="00024398">
      <w:pPr>
        <w:spacing w:after="0" w:line="240" w:lineRule="auto"/>
        <w:rPr>
          <w:rFonts w:ascii="Cambria" w:eastAsia="Arial" w:hAnsi="Cambria" w:cs="Arial"/>
          <w:b/>
          <w:bCs/>
          <w:color w:val="000000" w:themeColor="text1"/>
          <w:sz w:val="16"/>
          <w:szCs w:val="16"/>
        </w:rPr>
      </w:pPr>
      <w:r>
        <w:rPr>
          <w:rFonts w:ascii="Cambria" w:eastAsia="Arial" w:hAnsi="Cambria" w:cs="Arial"/>
          <w:b/>
          <w:bCs/>
          <w:color w:val="000000" w:themeColor="text1"/>
          <w:sz w:val="16"/>
          <w:szCs w:val="16"/>
        </w:rPr>
        <w:t>Gabriela Araújo Corrêa</w:t>
      </w:r>
      <w:r>
        <w:rPr>
          <w:rStyle w:val="Refdenotaderodap"/>
          <w:rFonts w:ascii="Cambria" w:eastAsia="Arial" w:hAnsi="Cambria" w:cs="Arial"/>
          <w:b/>
          <w:bCs/>
          <w:color w:val="000000" w:themeColor="text1"/>
          <w:sz w:val="16"/>
          <w:szCs w:val="16"/>
        </w:rPr>
        <w:footnoteReference w:id="3"/>
      </w:r>
    </w:p>
    <w:p w14:paraId="0274EDA2" w14:textId="7157FDC9" w:rsidR="00AE697D" w:rsidRPr="00024398" w:rsidRDefault="21D6F76C" w:rsidP="00024398">
      <w:pPr>
        <w:spacing w:after="0" w:line="240" w:lineRule="auto"/>
        <w:rPr>
          <w:rFonts w:ascii="Cambria" w:hAnsi="Cambria" w:cs="Arial"/>
          <w:sz w:val="16"/>
          <w:szCs w:val="16"/>
        </w:rPr>
      </w:pPr>
      <w:r>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Pr>
          <w:rFonts w:ascii="Cambria" w:hAnsi="Cambria" w:cs="Arial"/>
          <w:sz w:val="16"/>
          <w:szCs w:val="16"/>
        </w:rPr>
        <w:t xml:space="preserve"> https://orcid.org/0009-0000-9471-0422</w:t>
      </w:r>
    </w:p>
    <w:p w14:paraId="48B773C2" w14:textId="5D9460E1" w:rsidR="00AE697D" w:rsidRPr="00024398" w:rsidRDefault="21D6F76C" w:rsidP="00024398">
      <w:pPr>
        <w:spacing w:after="0" w:line="240" w:lineRule="auto"/>
        <w:rPr>
          <w:rFonts w:ascii="Cambria" w:hAnsi="Cambria" w:cs="Arial"/>
          <w:sz w:val="16"/>
          <w:szCs w:val="16"/>
        </w:rPr>
      </w:pPr>
      <w:r>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Pr>
          <w:rFonts w:ascii="Cambria" w:hAnsi="Cambria" w:cs="Arial"/>
          <w:sz w:val="16"/>
          <w:szCs w:val="16"/>
        </w:rPr>
        <w:t xml:space="preserve"> http://lattes.cnpq.br/7779633426614401</w:t>
      </w:r>
    </w:p>
    <w:p w14:paraId="2CB02C53" w14:textId="53370621" w:rsidR="00AE697D" w:rsidRPr="00024398" w:rsidRDefault="21D6F76C" w:rsidP="00024398">
      <w:pPr>
        <w:spacing w:after="0" w:line="240" w:lineRule="auto"/>
        <w:rPr>
          <w:rFonts w:ascii="Cambria" w:hAnsi="Cambria" w:cs="Arial"/>
          <w:sz w:val="16"/>
          <w:szCs w:val="16"/>
        </w:rPr>
      </w:pPr>
      <w:r>
        <w:rPr>
          <w:rFonts w:ascii="Cambria" w:eastAsia="Arial" w:hAnsi="Cambria" w:cs="Arial"/>
          <w:color w:val="000000" w:themeColor="text1"/>
          <w:sz w:val="16"/>
          <w:szCs w:val="16"/>
        </w:rPr>
        <w:t xml:space="preserve">UniProcessus – Centro Universitário Processus, DF, Brasil</w:t>
      </w:r>
    </w:p>
    <w:p w14:paraId="4691A584" w14:textId="230CD021" w:rsidR="00AE697D" w:rsidRPr="00024398" w:rsidRDefault="21D6F76C" w:rsidP="00024398">
      <w:pPr>
        <w:spacing w:after="0" w:line="240" w:lineRule="auto"/>
        <w:rPr>
          <w:rFonts w:ascii="Cambria" w:hAnsi="Cambria" w:cs="Arial"/>
          <w:sz w:val="16"/>
          <w:szCs w:val="16"/>
        </w:rPr>
      </w:pPr>
      <w:r>
        <w:rPr>
          <w:rFonts w:ascii="Cambria" w:eastAsia="Arial" w:hAnsi="Cambria" w:cs="Arial"/>
          <w:color w:val="000000" w:themeColor="text1"/>
          <w:sz w:val="16"/>
          <w:szCs w:val="16"/>
        </w:rPr>
        <w:t xml:space="preserve">E-mail: </w:t>
      </w:r>
      <w:r>
        <w:rPr>
          <w:rFonts w:ascii="Cambria" w:hAnsi="Cambria" w:cs="Arial"/>
          <w:sz w:val="16"/>
          <w:szCs w:val="16"/>
        </w:rPr>
        <w:t>Gabriela.araujo.correa@gmail.com</w:t>
      </w:r>
    </w:p>
    <w:p w14:paraId="505406C1" w14:textId="72A049C8" w:rsidR="00AE697D" w:rsidRPr="00024398" w:rsidRDefault="00AE697D" w:rsidP="00517126">
      <w:pPr>
        <w:spacing w:after="0" w:line="240" w:lineRule="auto"/>
        <w:rPr>
          <w:rFonts w:ascii="Cambria" w:hAnsi="Cambria" w:cs="Arial"/>
        </w:rPr>
      </w:pPr>
    </w:p>
    <w:p w14:paraId="3358FD70" w14:textId="5AEABCAA" w:rsidR="00AE697D" w:rsidRPr="00024398" w:rsidRDefault="21D6F76C" w:rsidP="00024398">
      <w:pPr>
        <w:spacing w:after="0" w:line="240" w:lineRule="auto"/>
        <w:rPr>
          <w:rFonts w:ascii="Cambria" w:eastAsia="Arial" w:hAnsi="Cambria" w:cs="Arial"/>
          <w:b/>
          <w:bCs/>
          <w:color w:val="000000" w:themeColor="text1"/>
          <w:sz w:val="16"/>
          <w:szCs w:val="16"/>
        </w:rPr>
      </w:pPr>
      <w:r>
        <w:rPr>
          <w:rFonts w:ascii="Cambria" w:eastAsia="Arial" w:hAnsi="Cambria" w:cs="Arial"/>
          <w:b/>
          <w:bCs/>
          <w:color w:val="000000" w:themeColor="text1"/>
          <w:sz w:val="16"/>
          <w:szCs w:val="16"/>
        </w:rPr>
        <w:t>Lívia dos Santos Vieira</w:t>
      </w:r>
      <w:r>
        <w:rPr>
          <w:rStyle w:val="Refdenotaderodap"/>
          <w:rFonts w:ascii="Cambria" w:eastAsia="Arial" w:hAnsi="Cambria" w:cs="Arial"/>
          <w:b/>
          <w:bCs/>
          <w:color w:val="000000" w:themeColor="text1"/>
          <w:sz w:val="16"/>
          <w:szCs w:val="16"/>
        </w:rPr>
        <w:footnoteReference w:id="4"/>
      </w:r>
    </w:p>
    <w:p w14:paraId="72FEDC10" w14:textId="05561119" w:rsidR="00AE697D" w:rsidRPr="00024398" w:rsidRDefault="21D6F76C" w:rsidP="00024398">
      <w:pPr>
        <w:spacing w:after="0" w:line="240" w:lineRule="auto"/>
        <w:rPr>
          <w:rFonts w:ascii="Cambria" w:hAnsi="Cambria" w:cs="Arial"/>
          <w:sz w:val="16"/>
          <w:szCs w:val="16"/>
        </w:rPr>
      </w:pPr>
      <w:r>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Pr>
          <w:rFonts w:ascii="Cambria" w:hAnsi="Cambria" w:cs="Arial"/>
          <w:sz w:val="16"/>
          <w:szCs w:val="16"/>
        </w:rPr>
        <w:t xml:space="preserve"> https://orcid.org/0009-0001-0805-8683</w:t>
      </w:r>
    </w:p>
    <w:p w14:paraId="5F32F7C7" w14:textId="5DBC2F59" w:rsidR="00AE697D" w:rsidRPr="00024398" w:rsidRDefault="21D6F76C" w:rsidP="00024398">
      <w:pPr>
        <w:spacing w:after="0" w:line="240" w:lineRule="auto"/>
        <w:rPr>
          <w:rFonts w:ascii="Cambria" w:hAnsi="Cambria" w:cs="Arial"/>
          <w:sz w:val="16"/>
          <w:szCs w:val="16"/>
        </w:rPr>
      </w:pPr>
      <w:r>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Pr>
          <w:rFonts w:ascii="Cambria" w:hAnsi="Cambria" w:cs="Arial"/>
          <w:sz w:val="16"/>
          <w:szCs w:val="16"/>
        </w:rPr>
        <w:t xml:space="preserve"> http://lattes.cnpq.br/5202096418327564</w:t>
      </w:r>
    </w:p>
    <w:p w14:paraId="14A190FD" w14:textId="521098DB" w:rsidR="00AE697D" w:rsidRPr="00024398" w:rsidRDefault="21D6F76C" w:rsidP="00024398">
      <w:pPr>
        <w:spacing w:after="0" w:line="240" w:lineRule="auto"/>
        <w:rPr>
          <w:rFonts w:ascii="Cambria" w:hAnsi="Cambria" w:cs="Arial"/>
          <w:sz w:val="16"/>
          <w:szCs w:val="16"/>
        </w:rPr>
      </w:pPr>
      <w:r>
        <w:rPr>
          <w:rFonts w:ascii="Cambria" w:eastAsia="Arial" w:hAnsi="Cambria" w:cs="Arial"/>
          <w:color w:val="000000" w:themeColor="text1"/>
          <w:sz w:val="16"/>
          <w:szCs w:val="16"/>
        </w:rPr>
        <w:t xml:space="preserve">UniProcessus – Centro Universitário Processus, DF, Brasil</w:t>
      </w:r>
    </w:p>
    <w:p w14:paraId="1B786600" w14:textId="7D98A284" w:rsidR="00AE697D" w:rsidRPr="00024398" w:rsidRDefault="21D6F76C" w:rsidP="00024398">
      <w:pPr>
        <w:spacing w:after="0" w:line="240" w:lineRule="auto"/>
        <w:rPr>
          <w:rFonts w:ascii="Cambria" w:hAnsi="Cambria" w:cs="Arial"/>
          <w:sz w:val="16"/>
          <w:szCs w:val="16"/>
        </w:rPr>
      </w:pPr>
      <w:r>
        <w:rPr>
          <w:rFonts w:ascii="Cambria" w:eastAsia="Arial" w:hAnsi="Cambria" w:cs="Arial"/>
          <w:color w:val="000000" w:themeColor="text1"/>
          <w:sz w:val="16"/>
          <w:szCs w:val="16"/>
        </w:rPr>
        <w:t xml:space="preserve">E-mail: </w:t>
      </w:r>
      <w:r>
        <w:rPr>
          <w:rFonts w:ascii="Cambria" w:hAnsi="Cambria" w:cs="Arial"/>
          <w:sz w:val="16"/>
          <w:szCs w:val="16"/>
        </w:rPr>
        <w:t>liviavieira.farma@gmail.com</w:t>
      </w:r>
    </w:p>
    <w:p w14:paraId="14DAED9D" w14:textId="43C753E5" w:rsidR="00AE697D" w:rsidRPr="00024398" w:rsidRDefault="00AE697D" w:rsidP="00517126">
      <w:pPr>
        <w:spacing w:after="0" w:line="240" w:lineRule="auto"/>
        <w:rPr>
          <w:rFonts w:ascii="Cambria" w:hAnsi="Cambria" w:cs="Arial"/>
        </w:rPr>
      </w:pPr>
    </w:p>
    <w:p w14:paraId="72D48FAF" w14:textId="14ACC657" w:rsidR="00AE697D" w:rsidRPr="00024398" w:rsidRDefault="21D6F76C" w:rsidP="00024398">
      <w:pPr>
        <w:spacing w:after="0" w:line="240" w:lineRule="auto"/>
        <w:rPr>
          <w:rFonts w:ascii="Cambria" w:eastAsia="Arial" w:hAnsi="Cambria" w:cs="Arial"/>
          <w:b/>
          <w:bCs/>
          <w:color w:val="000000" w:themeColor="text1"/>
          <w:sz w:val="16"/>
          <w:szCs w:val="16"/>
        </w:rPr>
      </w:pPr>
      <w:r>
        <w:rPr>
          <w:rFonts w:ascii="Cambria" w:eastAsia="Arial" w:hAnsi="Cambria" w:cs="Arial"/>
          <w:b/>
          <w:bCs/>
          <w:color w:val="000000" w:themeColor="text1"/>
          <w:sz w:val="16"/>
          <w:szCs w:val="16"/>
        </w:rPr>
        <w:t>Lucas Henrique de Souza Gomes</w:t>
      </w:r>
      <w:r>
        <w:rPr>
          <w:rStyle w:val="Refdenotaderodap"/>
          <w:rFonts w:ascii="Cambria" w:eastAsia="Arial" w:hAnsi="Cambria" w:cs="Arial"/>
          <w:b/>
          <w:bCs/>
          <w:color w:val="000000" w:themeColor="text1"/>
          <w:sz w:val="16"/>
          <w:szCs w:val="16"/>
        </w:rPr>
        <w:footnoteReference w:id="5"/>
      </w:r>
    </w:p>
    <w:p w14:paraId="46ED895D" w14:textId="5CEC4EED" w:rsidR="00AE697D" w:rsidRPr="00024398" w:rsidRDefault="21D6F76C" w:rsidP="00024398">
      <w:pPr>
        <w:spacing w:after="0" w:line="240" w:lineRule="auto"/>
        <w:rPr>
          <w:rFonts w:ascii="Cambria" w:hAnsi="Cambria" w:cs="Arial"/>
          <w:sz w:val="16"/>
          <w:szCs w:val="16"/>
        </w:rPr>
      </w:pPr>
      <w:r>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Pr>
          <w:rFonts w:ascii="Cambria" w:hAnsi="Cambria" w:cs="Arial"/>
          <w:sz w:val="16"/>
          <w:szCs w:val="16"/>
        </w:rPr>
        <w:t xml:space="preserve"> https://orcid.org/0009-0009-6077-4845</w:t>
      </w:r>
    </w:p>
    <w:p w14:paraId="51DAB867" w14:textId="33FCCBD7" w:rsidR="00AE697D" w:rsidRPr="00024398" w:rsidRDefault="21D6F76C" w:rsidP="00024398">
      <w:pPr>
        <w:spacing w:after="0" w:line="240" w:lineRule="auto"/>
        <w:rPr>
          <w:rFonts w:ascii="Cambria" w:hAnsi="Cambria" w:cs="Arial"/>
          <w:sz w:val="16"/>
          <w:szCs w:val="16"/>
        </w:rPr>
      </w:pPr>
      <w:r>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Pr>
          <w:rFonts w:ascii="Cambria" w:hAnsi="Cambria" w:cs="Arial"/>
          <w:sz w:val="16"/>
          <w:szCs w:val="16"/>
        </w:rPr>
        <w:t xml:space="preserve"> https://lattes.cnpq.br/4431370988113585</w:t>
      </w:r>
    </w:p>
    <w:p w14:paraId="4958B088" w14:textId="69B3652F" w:rsidR="00AE697D" w:rsidRPr="00024398" w:rsidRDefault="21D6F76C" w:rsidP="00024398">
      <w:pPr>
        <w:spacing w:after="0" w:line="240" w:lineRule="auto"/>
        <w:rPr>
          <w:rFonts w:ascii="Cambria" w:hAnsi="Cambria" w:cs="Arial"/>
          <w:sz w:val="16"/>
          <w:szCs w:val="16"/>
        </w:rPr>
      </w:pPr>
      <w:r>
        <w:rPr>
          <w:rFonts w:ascii="Cambria" w:eastAsia="Arial" w:hAnsi="Cambria" w:cs="Arial"/>
          <w:color w:val="000000" w:themeColor="text1"/>
          <w:sz w:val="16"/>
          <w:szCs w:val="16"/>
        </w:rPr>
        <w:t xml:space="preserve">UniProcessus – Centro Universitário Processus, DF, Brasil</w:t>
      </w:r>
    </w:p>
    <w:p w14:paraId="0E0AE19B" w14:textId="51880A4B" w:rsidR="00AE697D" w:rsidRPr="00024398" w:rsidRDefault="21D6F76C" w:rsidP="00024398">
      <w:pPr>
        <w:spacing w:after="0" w:line="240" w:lineRule="auto"/>
        <w:rPr>
          <w:rFonts w:ascii="Cambria" w:hAnsi="Cambria" w:cs="Arial"/>
          <w:sz w:val="16"/>
          <w:szCs w:val="16"/>
        </w:rPr>
      </w:pPr>
      <w:r>
        <w:rPr>
          <w:rFonts w:ascii="Cambria" w:eastAsia="Arial" w:hAnsi="Cambria" w:cs="Arial"/>
          <w:color w:val="000000" w:themeColor="text1"/>
          <w:sz w:val="16"/>
          <w:szCs w:val="16"/>
        </w:rPr>
        <w:t xml:space="preserve">E-mail: </w:t>
      </w:r>
      <w:r>
        <w:rPr>
          <w:rFonts w:ascii="Cambria" w:hAnsi="Cambria" w:cs="Arial"/>
          <w:sz w:val="16"/>
          <w:szCs w:val="16"/>
        </w:rPr>
        <w:t>lucashenriquesouzagomes05@gmail.com</w:t>
      </w:r>
    </w:p>
    <w:p w14:paraId="0ED8A03A" w14:textId="5EC44509" w:rsidR="00AE697D" w:rsidRPr="00024398" w:rsidRDefault="00AE697D" w:rsidP="00517126">
      <w:pPr>
        <w:spacing w:after="0" w:line="240" w:lineRule="auto"/>
        <w:rPr>
          <w:rFonts w:ascii="Cambria" w:hAnsi="Cambria" w:cs="Arial"/>
        </w:rPr>
      </w:pPr>
    </w:p>
    <w:p w14:paraId="60ED063F" w14:textId="569FF50F" w:rsidR="00AE697D" w:rsidRPr="00024398" w:rsidRDefault="21D6F76C" w:rsidP="40960C0D">
      <w:pPr>
        <w:widowControl w:val="0"/>
        <w:spacing w:after="0" w:line="240" w:lineRule="auto"/>
        <w:contextualSpacing/>
        <w:jc w:val="both"/>
        <w:rPr>
          <w:rFonts w:ascii="Cambria" w:hAnsi="Cambria" w:cs="Arial"/>
        </w:rPr>
      </w:pPr>
      <w:r>
        <w:rPr>
          <w:rFonts w:ascii="Cambria" w:eastAsia="Arial" w:hAnsi="Cambria" w:cs="Arial"/>
          <w:b/>
          <w:bCs/>
          <w:color w:val="000000" w:themeColor="text1"/>
        </w:rPr>
        <w:t>Resumo</w:t>
      </w:r>
    </w:p>
    <w:p w14:paraId="2A1A23EA" w14:textId="361AA77C" w:rsidR="00AE697D" w:rsidRPr="00024398" w:rsidRDefault="21D6F76C" w:rsidP="40960C0D">
      <w:pPr>
        <w:widowControl w:val="0"/>
        <w:spacing w:after="0" w:line="240" w:lineRule="auto"/>
        <w:contextualSpacing/>
        <w:jc w:val="both"/>
        <w:rPr>
          <w:rFonts w:ascii="Cambria" w:hAnsi="Cambria" w:cs="Arial"/>
        </w:rPr>
      </w:pPr>
      <w:r>
        <w:rPr>
          <w:rFonts w:ascii="Cambria" w:eastAsia="Calibri" w:hAnsi="Cambria" w:cs="Arial"/>
          <w:color w:val="000000" w:themeColor="text1"/>
        </w:rPr>
        <w:t xml:space="preserve">Esta é uma resenha do artigo intitulado “Controle de constitucionalidade no Brasil e Argentina – as origens e influências do controle de constitucionalidade sob uma perspectiva comparada”. Este artigo é de autoria de: Gina Gouveia Pires de Castro; Thaminne Nathalia; e Antônio Beserra dos Santos Neto. O artigo aqui resenhado foi publicado no periódico “Revista Jurídica - UNICURITIBA”, no ano de 2017, Vol.4, n.49, pp. 418-439. O artigo compara analiticamente o controle de constitucionalidade no Brasil e na Argentina, salientando as influências históricas do constitucionalismo europeu e norte-americano e a mudança latino-americana de constituições simbólicas para instrumentos de efetiva garantia de direitos. Mostra que o Brasil evoluiu de um modelo difuso para um sistema misto, combinando controle concentrado e difuso, com destaque para a vinculação de precedentes, enquanto a Argentina mantém o modelo difuso, mas vem delegando força vinculante às decisões por construção jurisprudencial e realçando o controle de convencionalidade. Conclui que, apesar dos contrastes estruturais, os dois países utilizam remédios constitucionais, como o mandado de segurança no Brasil e o amparo na Argentina, como instrumentos essenciais de amparo aos direitos fundamentais.</w:t>
      </w:r>
    </w:p>
    <w:p w14:paraId="313824AA" w14:textId="5547C20E" w:rsidR="00AE697D" w:rsidRPr="00024398" w:rsidRDefault="00AE697D" w:rsidP="00517126">
      <w:pPr>
        <w:spacing w:after="0" w:line="240" w:lineRule="auto"/>
        <w:rPr>
          <w:rFonts w:ascii="Cambria" w:hAnsi="Cambria" w:cs="Arial"/>
        </w:rPr>
      </w:pPr>
    </w:p>
    <w:p w14:paraId="276BB3C3" w14:textId="5808ED70" w:rsidR="00AE697D" w:rsidRPr="00024398" w:rsidRDefault="21D6F76C" w:rsidP="40960C0D">
      <w:pPr>
        <w:widowControl w:val="0"/>
        <w:spacing w:after="0" w:line="240" w:lineRule="auto"/>
        <w:contextualSpacing/>
        <w:jc w:val="both"/>
        <w:rPr>
          <w:rFonts w:ascii="Cambria" w:hAnsi="Cambria" w:cs="Arial"/>
        </w:rPr>
      </w:pPr>
      <w:r>
        <w:rPr>
          <w:rFonts w:ascii="Cambria" w:eastAsia="Calibri" w:hAnsi="Cambria" w:cs="Arial"/>
          <w:b/>
          <w:bCs/>
          <w:color w:val="000000" w:themeColor="text1"/>
        </w:rPr>
        <w:t xml:space="preserve">Palavras-chave: </w:t>
      </w:r>
      <w:r>
        <w:rPr>
          <w:rFonts w:ascii="Cambria" w:eastAsia="Calibri" w:hAnsi="Cambria" w:cs="Arial"/>
          <w:color w:val="000000" w:themeColor="text1"/>
        </w:rPr>
        <w:t xml:space="preserve">Controle de Constitucionalidade. Brasil. Argentina. Perspectiva Comparada. Influências Históricas. Direitos Fundamentais.</w:t>
      </w:r>
    </w:p>
    <w:p w14:paraId="303B8432" w14:textId="5A2C32A8" w:rsidR="00AE697D" w:rsidRPr="00024398" w:rsidRDefault="00AE697D" w:rsidP="00517126">
      <w:pPr>
        <w:spacing w:after="0" w:line="240" w:lineRule="auto"/>
        <w:rPr>
          <w:rFonts w:ascii="Cambria" w:hAnsi="Cambria" w:cs="Arial"/>
        </w:rPr>
      </w:pPr>
    </w:p>
    <w:p w14:paraId="18D04855" w14:textId="1EFFA787" w:rsidR="00AE697D" w:rsidRPr="00024398" w:rsidRDefault="21D6F76C" w:rsidP="40960C0D">
      <w:pPr>
        <w:widowControl w:val="0"/>
        <w:spacing w:after="0" w:line="240" w:lineRule="auto"/>
        <w:contextualSpacing/>
        <w:jc w:val="both"/>
        <w:rPr>
          <w:rFonts w:ascii="Cambria" w:eastAsia="Calibri" w:hAnsi="Cambria" w:cs="Arial"/>
          <w:b/>
          <w:bCs/>
          <w:i/>
          <w:iCs/>
          <w:color w:val="000000" w:themeColor="text1"/>
          <w:lang w:val="en-US"/>
        </w:rPr>
      </w:pPr>
      <w:r>
        <w:rPr>
          <w:rFonts w:ascii="Cambria" w:eastAsia="Calibri" w:hAnsi="Cambria" w:cs="Arial"/>
          <w:b/>
          <w:bCs/>
          <w:i/>
          <w:iCs/>
          <w:color w:val="000000" w:themeColor="text1"/>
          <w:lang w:val="en-US"/>
        </w:rPr>
        <w:t>Abstract</w:t>
      </w:r>
    </w:p>
    <w:p w14:paraId="7FAC0A90" w14:textId="209CBAC8" w:rsidR="00AE697D" w:rsidRPr="00024398" w:rsidRDefault="21D6F76C" w:rsidP="40960C0D">
      <w:pPr>
        <w:widowControl w:val="0"/>
        <w:spacing w:after="0" w:line="240" w:lineRule="auto"/>
        <w:contextualSpacing/>
        <w:jc w:val="both"/>
        <w:rPr>
          <w:rFonts w:ascii="Cambria" w:eastAsia="Calibri" w:hAnsi="Cambria" w:cs="Arial"/>
          <w:i/>
          <w:iCs/>
          <w:color w:val="000000" w:themeColor="text1"/>
          <w:lang w:val="en-US"/>
        </w:rPr>
      </w:pPr>
      <w:r>
        <w:rPr>
          <w:rFonts w:ascii="Cambria" w:eastAsia="Calibri" w:hAnsi="Cambria" w:cs="Arial"/>
          <w:i/>
          <w:iCs/>
          <w:color w:val="000000" w:themeColor="text1"/>
          <w:lang w:val="en-US"/>
        </w:rPr>
        <w:t xml:space="preserve">This is a review of the article titled "Judicial Review in Brazil and Argentina – The Origins and Influences of Judicial Review from a Comparative Perspective." The article is authored by: Gina Gouveia Pires de Castro; Thaminne Nathalia; Antônio Beserra dos Santos Neto. The article reviewed here was published in the journal "Revista Jurídica - UNICURITIBA" in 2017, Vol. 4, No. 49, pp. 418-439. The article analytically compares judicial review in Brazil and Argentina, highlighting the historical influences of European and North American constitutionalism and the Latin American shift from symbolic constitutions to instruments of effective protection of rights. It shows that Brazil evolved from a diffuse model to a mixed system, combining both concentrated and diffuse control, with an emphasis on the binding nature of precedents. Meanwhile, Argentina maintains the diffuse model but has been delegating binding force to decisions through jurisprudential construction and emphasizing conventionality control. The article concludes that, despite structural contrasts, both countries use constitutional remedies—such as the writ of security in Brazil and the "amparo" in Argentina—as essential instruments for safeguarding fundamental rights.</w:t>
      </w:r>
    </w:p>
    <w:p w14:paraId="7CDE978C" w14:textId="47F77074" w:rsidR="00AE697D" w:rsidRPr="00024398" w:rsidRDefault="00AE697D" w:rsidP="00517126">
      <w:pPr>
        <w:spacing w:after="0" w:line="240" w:lineRule="auto"/>
        <w:rPr>
          <w:rFonts w:ascii="Cambria" w:hAnsi="Cambria" w:cs="Arial"/>
        </w:rPr>
      </w:pPr>
    </w:p>
    <w:p w14:paraId="44F5B3E2" w14:textId="54316CFF" w:rsidR="00AE697D" w:rsidRPr="00024398" w:rsidRDefault="21D6F76C" w:rsidP="40960C0D">
      <w:pPr>
        <w:widowControl w:val="0"/>
        <w:spacing w:after="0" w:line="240" w:lineRule="auto"/>
        <w:contextualSpacing/>
        <w:jc w:val="both"/>
        <w:rPr>
          <w:rFonts w:ascii="Cambria" w:eastAsia="Calibri" w:hAnsi="Cambria" w:cs="Arial"/>
          <w:i/>
          <w:iCs/>
          <w:color w:val="000000" w:themeColor="text1"/>
        </w:rPr>
      </w:pPr>
      <w:r>
        <w:rPr>
          <w:rFonts w:ascii="Cambria" w:eastAsia="Calibri" w:hAnsi="Cambria" w:cs="Arial"/>
          <w:b/>
          <w:bCs/>
          <w:i/>
          <w:iCs/>
          <w:color w:val="000000" w:themeColor="text1"/>
          <w:lang w:val="en-US"/>
        </w:rPr>
        <w:t>Keywords:</w:t>
      </w:r>
      <w:r>
        <w:rPr>
          <w:rFonts w:ascii="Cambria" w:eastAsia="Calibri" w:hAnsi="Cambria" w:cs="Arial"/>
          <w:i/>
          <w:iCs/>
          <w:color w:val="000000" w:themeColor="text1"/>
          <w:lang w:val="en-US"/>
        </w:rPr>
        <w:t xml:space="preserve">Judicial Review. Brazil. Argentina. Comparative Perspective. Historical Influences. Fundamental Rights.</w:t>
      </w:r>
      <w:r>
        <w:rPr>
          <w:rFonts w:ascii="Cambria" w:eastAsia="Calibri" w:hAnsi="Cambria" w:cs="Arial"/>
          <w:i/>
          <w:iCs/>
          <w:color w:val="000000" w:themeColor="text1"/>
        </w:rPr>
        <w:t/>
      </w:r>
    </w:p>
    <w:p w14:paraId="07F07BB7" w14:textId="308ADB6F" w:rsidR="00AE697D" w:rsidRPr="00024398" w:rsidRDefault="00AE697D" w:rsidP="00517126">
      <w:pPr>
        <w:spacing w:after="0" w:line="240" w:lineRule="auto"/>
        <w:rPr>
          <w:rFonts w:ascii="Cambria" w:hAnsi="Cambria" w:cs="Arial"/>
        </w:rPr>
      </w:pPr>
    </w:p>
    <w:p w14:paraId="1366C39D" w14:textId="1349DD6B" w:rsidR="00AE697D" w:rsidRPr="00024398" w:rsidRDefault="21D6F76C" w:rsidP="40960C0D">
      <w:pPr>
        <w:widowControl w:val="0"/>
        <w:spacing w:after="0" w:line="240" w:lineRule="auto"/>
        <w:contextualSpacing/>
        <w:jc w:val="both"/>
        <w:rPr>
          <w:rFonts w:ascii="Cambria" w:eastAsia="Calibri" w:hAnsi="Cambria" w:cs="Arial"/>
          <w:b/>
          <w:bCs/>
          <w:color w:val="000000" w:themeColor="text1"/>
        </w:rPr>
      </w:pPr>
      <w:r>
        <w:rPr>
          <w:rFonts w:ascii="Cambria" w:eastAsia="Calibri" w:hAnsi="Cambria" w:cs="Arial"/>
          <w:b/>
          <w:bCs/>
          <w:color w:val="000000" w:themeColor="text1"/>
        </w:rPr>
        <w:t>Resenha</w:t>
      </w:r>
    </w:p>
    <w:p w14:paraId="266859AE" w14:textId="68D62A01"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Esta é uma resenha do artigo intitulado “Controle de constitucionalidade no Brasil e Argentina – as origens e influências do controle de constitucionalidade sob uma perspectiva comparada”. Este artigo é de autoria de: Gina Gouveia Pires de Castro; Thaminne Nathalia; e Antônio Beserra dos Santos Neto. O artigo aqui resenhado foi publicado no periódico “Revista Jurídica - UNICURITIBA”, no ano de 2017, Vol.4, n.49, pp. 418-439.</w:t>
      </w:r>
    </w:p>
    <w:p w14:paraId="319DF7C7" w14:textId="485EC1CC"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Quanto aos(às) autores(as) deste artigo, conheçamos um pouco acerca do currículo de cada um(a) deles(as). Muito do que compõe a formação ou a experiência de um(a) autor(a) contribui para a reflexão temática dos temas aos quais se propõe a escrever. Conheçamos um pouco sobre cada autor.</w:t>
      </w:r>
    </w:p>
    <w:p w14:paraId="5E55B966" w14:textId="0A1C3D52"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 primeira autora é Gina Gouveia Pires de Castro. Graduada em Direito pela Faculdades Integradas Barros Melo (AESO); Mestra na linha de Direito Constitucional pela Universidade Federal de Pernambuco (UFPE); Doutora na linha de Direito Constitucional pela Universidade Federal de Pernambuco (UFPE). O currículo Lattes da autora é: http://lattes.cnpq.br/0038427868375157. O currículo ORCID da autora é https://orcid.org/0000-0001-8632-217.</w:t>
      </w:r>
    </w:p>
    <w:p w14:paraId="6CC54D40" w14:textId="748AE0F4"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 segunda autora é Thaminne Nathalia Cabral Moraes e Silva. Graduada em Direito pela Faculdades Integradas Barros de Melo (AESO); Mestra em Direito pela Universidade Federal de Pernambuco (UFPE); Doutora em Direito pela Universidade Federal de Pernambuco (UFPE). O currículo Lattes da autora é http://lattes.cnpq.br/9943254061944592. Autora não possui currículo ORCID.</w:t>
      </w:r>
    </w:p>
    <w:p w14:paraId="31AF17E8" w14:textId="71989A35"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 terceiro autor é Antônio Beserra dos Santos Neto. Graduado em Direito pela Universidade Federal de Pernambuco (UFPE); Mestre pela Universidade de Pernambuco. Possui graduação em Direito pela Universidade Federal de Pernambuco (2013). Pós-graduação em Direito processual civil pela Universidade Federal de Pernambuco. Mestre pela Universidade Federal de Pernambuco na linha de Direito Constitucional. Pesquisador no Grupo de Pesquisa - Jurisdição e Processos Constitucionais na América Latina: Análise Comparada, no âmbito da Pós-Graduação em Direito da UFPE. Atuação profissional de advocacia com ênfase em Direito Securitário. O currículo Lattes do autor é http://lattes.cnpq.br/5115765146747504. O autor não possui currículo ORCID.</w:t>
      </w:r>
    </w:p>
    <w:p w14:paraId="2EC9B32B" w14:textId="5E33FC9F"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Este artigo foi dividido nos seguintes capítulos: Resumo, Palavras-chave, Abstract, Keywords, Introdução, Dos antecedentes históricos do controle de constitucionalidade, Do controle político e do judicial review, Do sistema difuso, das cortes constitucionais e dos sistemas mistos de controle de constitucionalidade, Controle de constitucionalidade como garantia da supremacia das constituições, Controle de constitucionalidade no Brasil, Controle de constitucionalidade na Argentina, Conclusão e Referências.</w:t>
      </w:r>
    </w:p>
    <w:p w14:paraId="6A570455" w14:textId="7001CF6A"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 artigo “Controle de constitucionalidade no Brasil e Argentina: as origens de influências do controle de constitucionalidade sob uma perspectiva comparada”, de Gina Gouveia Pires de Castro, Thaminne Nathalia e Antônio Beserra dos Santos Neto, publicado na Revista Jurídica do Centro Universitário Unicuritiba apresenta uma análise bem estruturada acerca das influências do controle de constitucionalidade nos sistemas jurídicos brasileiro e argentino, considerando o desenvolvimento histórico. O artigo demonstra mérito acadêmico ilustre ao realizar um estudo comparativo de duas constituições que, embora próximas territorialmente, tiveram caminhos distintos na recepção e consolidação dos mecanismos de controle constitucional. O texto é claro, coerente e demonstra que a metodologia adotada foi pautada na revisão bibliográfica e na análise dogmática, permitindo que o leitor compreenda os fundamentos históricos e as particularidades teóricas que marcaram a formação desses sistemas. O texto conciliou o rigor científico com a clareza expositiva, tornando a leitura acessível e fluída. Outro ponto positivo é a organização dos tópicos, que guia o leitor gradativamente da exposição histórica para a reflexão crítica. O artigo se mostra relevante ao contribuir para a compreensão do controle de constitucionalidade, estimulando reflexões sobre a importância do respeito à supremacia constitucional e a importância do fortalecimento das instituições democráticas. Em suma, refere-se a um trabalho de alta qualidade acadêmica, aliando profundidade teórica, relevância prática e clareza, consolidando-se como uma importante leitura para os estudantes do Direito Constitucional e para os interessados no controle de constitucionalidade na América Latina.</w:t>
      </w:r>
    </w:p>
    <w:p w14:paraId="467B6C6F" w14:textId="52A85F42"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 tema do artigo é “Controle de Constitucionalidade no Brasil e Argentina – As Origens e Influências do Controle de Constitucionalidade sob uma Perspectiva Comparada”. Discutiu o seguinte problema: “Na América Latina, as constituições foram tradicionalmente apontadas como documentos dotados de pouca eficácia e quase nenhuma conformação de seus textos à realidade dos povos”. O artigo partiu da seguinte hipótese: “os processos constituintes de Brasil (1988) e Argentina (1995), que, distinguem-se dos modelos do chamado Novo Constitucionalismo Latino-Americano, são o ponto de partida para uma análise do controle de constitucionalidade e sua relação com a concretização de direitos fundamentais nos dois países”.</w:t>
      </w:r>
    </w:p>
    <w:p w14:paraId="6C7236D4" w14:textId="2AD2C007"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No artigo, o objetivo geral foi contrastar os sistemas de controle de constitucionalidade no Brasil e na Argentina, identificando suas origens, diferenças, semelhanças e transformações históricas. Os objetivos específicos foram: buscar expor a evolução do constitucionalismo nos dois países; examinar os modelos de controle adotados; examinar os instrumentos de proteção dos direitos fundamentais; e diagnosticar a influência de fatores internos e externos no processo de consolidação desses sistemas.</w:t>
      </w:r>
    </w:p>
    <w:p w14:paraId="07E3CC8B" w14:textId="0BFD475C"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 temática da pesquisa contou com as seguintes justificativas: No campo profissional, oferece subsídios relevantes à preparação de juristas, magistrados e operadores do Direito, ao possibilitar uma compreensão crítica e comparada dos sistemas de controle de constitucionalidade no Brasil e na Argentina, bem como do uso dos remédios constitucionais na defesa de direitos. Sob o aspecto científico, ampara o avanço da ciência jurídica ao sistematizar e analisar modelos distintos de controle de constitucionalidade, suas origens históricas, influências externas e transformações, preenchendo falhas da literatura comparada sobre o constitucionalismo latino-americano. Na perspectiva social, o estudo demonstra impacto direto na consolidação do Estado de Direito, pois evidencia como tais mecanismos certificam a supremacia constitucional e a efetividade dos direitos fundamentais, fortificando a cidadania e o amparo democrático na região.</w:t>
      </w:r>
    </w:p>
    <w:p w14:paraId="5F3BD9B2" w14:textId="3820B70D"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 metodologia utilizada para a construção da pesquisa usada no artigo aqui analisado foi a prática de uma abordagem qualitativa, com método dedutivo e técnica de análise bibliográfica e documental, tendo como fontes principais a doutrina, a jurisprudência e os textos normativos.</w:t>
      </w:r>
    </w:p>
    <w:p w14:paraId="4490FC1C" w14:textId="1E4ED227"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INTRODUÇÃO</w:t>
      </w:r>
    </w:p>
    <w:p w14:paraId="57F8F46D" w14:textId="6F00EB6B"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 importante missão de defender a supremacia da Constituição foi atribuída ao controle de constitucionalidade, em razão do pós-guerra, em meados do século XX, período em que se intensificou a preocupação em conferir plena efetividade e resguardo à Constituição diante das maiorias legislativas (FAVOREU, 2004).</w:t>
      </w:r>
    </w:p>
    <w:p w14:paraId="6AA9F7FD" w14:textId="3C312384"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 constitucionalismo pós-guerra foi reinventado em razão do destaque conferido a esse instituto, tamanha foi a importância adquirida pela jurisdição constitucional nesse cenário (SAMPAIO, 2002), refletindo uma transformação profunda na forma de organizar e aplicar o Direito.</w:t>
      </w:r>
    </w:p>
    <w:p w14:paraId="2F2D962D" w14:textId="35654422"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Nesse sentido, para dar mais eficácia à Constituição, nessa mesma época, na Europa, houve uma maior preocupação em submeter os legisladores à Constituição, em momento oportuno, explicam os autores do texto (CASTRO; NATHALIA; SANTOS NETO, 2017).</w:t>
      </w:r>
    </w:p>
    <w:p w14:paraId="4ACEB900" w14:textId="0671792C"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Devido à ausência de conformidade das constituições latino-americanas com a realidade de seus povos, tornaram-se quase sem eficácia (WOLKMER, 2011), mostrando-se distantes das necessidades sociais, econômicas e políticas da população.</w:t>
      </w:r>
    </w:p>
    <w:p w14:paraId="46D5AD33" w14:textId="7E181410"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É possível observar que se no período pós-Segunda Guerra Mundial as constituições trouxeram direitos fundamentais e criaram ou fortaleceram a jurisdição constitucional do século XX, algo semelhante também ocorreu na América Latina nas duas últimas décadas desse mesmo século (DALMAU; PASTOR, 2010, p. 7-29).</w:t>
      </w:r>
    </w:p>
    <w:p w14:paraId="727B6621" w14:textId="69015EB7"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Na América Latina, nas duas últimas décadas do século XX, ocorreu um fenômeno similar ao das constituições do pós-guerra, nas quais se ampliou a proteção aos direitos fundamentais e à Constituição (DALMAU; PASTOR, 2010), refletindo uma renovação do constitucionalismo na região.</w:t>
      </w:r>
    </w:p>
    <w:p w14:paraId="0095C23A" w14:textId="77FB73F6"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 Novo Constitucionalismo Latino-Americano, nome atribuído por vários autores, refere-se ao constitucionalismo latino-americano do final do século XX (DALMAU; PASTOR, 2010), marcado por uma renovação na interpretação e na aplicação das normas constitucionais.</w:t>
      </w:r>
    </w:p>
    <w:p w14:paraId="7AEE5AD8" w14:textId="383F9940"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 artigo nos convence de que as normas constituintes do Brasil (1988) e da Argentina (1995) servem como base para examinar o controle de constitucionalidade e sua ligação com a concretização dos direitos fundamentais nos dois países (CASTRO; NATHALIA; SANTOS NETO, 2017).</w:t>
      </w:r>
    </w:p>
    <w:p w14:paraId="2719962E" w14:textId="14F7D21D"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DOS ANTECEDENTES HISTÓRICOS DO CONTROLE DE CONSTITUCIONALIDADE – DO CONTROLE POLÍTICO E DO JUDICIAL REVIEW</w:t>
      </w:r>
    </w:p>
    <w:p w14:paraId="59BAC37F" w14:textId="0B587094"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 advento do controle de constitucionalidade e o desejo de conferir à Constituição um status de supralegalidade tiveram origem com as constituições escritas, que impossibilitavam que processos legislativos ordinários modificassem a Constituição (HORTA; RAUL, 2003, p. 121).</w:t>
      </w:r>
    </w:p>
    <w:p w14:paraId="410F2360" w14:textId="161295C3"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Foi por meio do órgão político que surgiu a evolução da norma de controle de constitucionalidade, que se adequou ao cenário social, político e filosófico da França, conforme Castro, Nathalia e Santos Neto facilmente dissertam (CASTRO; NATHALIA; SANTOS NETO, 2017).</w:t>
      </w:r>
    </w:p>
    <w:p w14:paraId="5F1FDF42" w14:textId="346EAC8E"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 diferença teórica entre poder constituinte originário e poder constituído derivado foi proposta por Abade Sieyès. Inicialmente rejeitada por teóricos e legisladores, essa proposta foi temida por criar um poder capaz de dificultar a atividade do Poder Legislativo, tendo sido instituída na França como mecanismo de verificação da constitucionalidade (CASTRO; NATHALIA; SANTOS NETO, 2017).</w:t>
      </w:r>
    </w:p>
    <w:p w14:paraId="584B5841" w14:textId="3FE215D9"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Os juízes norte-americanos possuíam uma premissa completamente diferente, cabendo-lhes impedir que o legislador ordinário contrariasse a disposição constitucional (HAMILTON; MADISON; JAY, 2003), assumindo um papel ativo na defesa da supremacia da Constituição sobre as leis comuns.</w:t>
      </w:r>
    </w:p>
    <w:p w14:paraId="03640CE8" w14:textId="6C9C2CDC"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Edward Coke, juiz inglês do século XVII, foi responsável por inspirar o modelo de controle jurisdicional adotado nos Estados Unidos, modelo que adotava a supremacia da common law sobre a statutory law e concedia ao Judiciário a função de conter abusos do Parlamento e do Rei (BELAUNDE; DOMINGO, 2003, p. 27-30).</w:t>
      </w:r>
    </w:p>
    <w:p w14:paraId="3125F52E" w14:textId="32E46C3F"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De maneira concisa, o texto aduz que o constitucionalismo norte-americano influenciou os processos de independência e o controle de constitucionalidade dos países da América Latina (CASTRO; NATHALIA; SANTOS NETO, 2017), especialmente na adoção de mecanismos de revisão judicial que asseguram a supremacia da Constituição sobre as demais normas.</w:t>
      </w:r>
    </w:p>
    <w:p w14:paraId="43CEAB88" w14:textId="24FE2175"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Até 1891, o Brasil não havia adotado a ideia de controle de constitucionalidade, sendo influenciado pelo constitucionalismo francês. A partir desse ano, passou a utilizar o modelo difuso, de forma similar a dos Estados Unidos (CUNHA JÚNIOR, 2009).</w:t>
      </w:r>
    </w:p>
    <w:p w14:paraId="618B155C" w14:textId="0D511592"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Hans Kelsen, em 1919, propôs um modelo diferente do estadunidense, instituindo um contencioso constitucional dotado de peculiaridades próprias, contrário ao rito ordinário vigente na América do Norte (FAVOREU, 2004), que visava conferir maior especialização e eficiência para a revisão das normas constitucionais.</w:t>
      </w:r>
    </w:p>
    <w:p w14:paraId="2C9E77A8" w14:textId="16B71125"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DO SISTEMA DIFUSO, DAS CORTES CONSTITUCIONAIS E DOS SISTEMAS MISTOS DE CONTROLE DE CONSTITUCIONALIDADE</w:t>
      </w:r>
    </w:p>
    <w:p w14:paraId="2F4A31DF" w14:textId="49D05AD5"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 supremacia da Constituição sobre as leis ordinárias podia ser observada nos Estados Unidos desde o início do século XIX, consolidando a precedência do controle jurisdicional de constitucionalidade (CASTRO; NATHALIA; SANTOS NETO, 2017).</w:t>
      </w:r>
    </w:p>
    <w:p w14:paraId="16207A4D" w14:textId="0F94BF62"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 expressiva influência do constitucionalismo norte-americano nas nações latino-americanas durante o século XIX não foi reproduzida com o mesmo vigor na Europa. Apenas no século XX a Europa iniciou o processo de instalação de uma jurisdição constitucional (FAVOREU,2004).</w:t>
      </w:r>
    </w:p>
    <w:p w14:paraId="40E24990" w14:textId="2FE1A724"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Os modelos norte-americano (difuso ou concreto) e europeu (concentrado ou abstrato) de controle de constitucionalidade compartilham as mesmas teses, como a supralegalidade e a rigidez constitucional, mas apresentam suas particularidades (DANTAS, 2012).</w:t>
      </w:r>
    </w:p>
    <w:p w14:paraId="2C95B146" w14:textId="386CEE92"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Os autores acertam ao explicar que, no modelo difuso, todos os órgãos do Judiciário podem realizar o controle de constitucionalidade ao julgar casos concretos. Esse sistema se fortalece pela doutrina do stare decisis, que impõe aos demais tribunais o dever de seguir os vereditos da Suprema Corte sempre que a mesma questão for analisada (CASTRO; NATHALIA; SANTOS NETO, 2017).</w:t>
      </w:r>
    </w:p>
    <w:p w14:paraId="3C976229" w14:textId="260D044D"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Duas características do controle difuso são: 1 – qualquer juiz pode, em algum momento ou instância, analisar a constitucionalidade de uma lei, ainda que a Suprema Corte seja a autoridade máxima nesse controle, e suas decisões tenham efeito obrigatório por causa do stare decisis; 2 – esse evento apenas se aplica a casos concretos, não existindo ação própria voltada exclusivamente ao controle de constitucionalidade (DANTAS, 2012).</w:t>
      </w:r>
    </w:p>
    <w:p w14:paraId="4A6EE27C" w14:textId="41482487"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Facilmente, o texto expõe que é uma competência exclusiva das Cortes Constitucionais decretar a inconstitucionalidade de normas ao exercer o controle concentrado (CASTRO; NATHALIA; SANTOS NETO, 2017), garantindo que apenas esses órgãos especializados tenham autoridade para invalidar leis e atos normativos contrários à Constituição.</w:t>
      </w:r>
    </w:p>
    <w:p w14:paraId="3036A28C" w14:textId="407E5C6D"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As características essenciais são sintetizadas pelo professor Ivo Dantas como: 1– existência de um órgão único e especializado, o Tribunal Constitucional, que respeita a separação dos poderes; 2– ações de controle com natureza judicial; 3– participação dos outros poderes do Estado na escolha dos membros do Tribunal; e 4– mandatos com tempo determinado, sem direito à vitaliciedade (DANTAS, 2012).</w:t>
      </w:r>
    </w:p>
    <w:p w14:paraId="1F7F4592" w14:textId="323ECE80"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 modelo pós-guerra proposto por Hans Kelsen foi amplamente adotado na Europa (FAVOREU, 2004), influenciando a organização dos sistemas jurídicos e a forma como o controle de constitucionalidade passou a ser exercido nos países europeus.</w:t>
      </w:r>
    </w:p>
    <w:p w14:paraId="35480DB1" w14:textId="61E5EC9E"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Não há um roteiro uniforme de controle de constitucionalidade na jurisdição das constituições da América Latina (DANTAS; IVO, 2012, p. 277-278), uma vez que cada país desenvolveu seus próprios mecanismos e procedimentos para garantir a supremacia da Constituição.</w:t>
      </w:r>
    </w:p>
    <w:p w14:paraId="5EFD393B" w14:textId="4CA33361"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De tal forma, Castro, Nathalia e Santos Neto, de modo preciso, explanam que, tanto a Argentina quanto o Brasil possuem um sistema misto e difuso. A Argentina exerce o controle constitucional desde a metade do século XIX. Embora o Brasil tenha adotado o controle difuso desde a Constituição de 1891, fortaleceu seu controle pela via abstrata apenas após a Constituição de 1988 (CASTRO; NATHALIA; SANTOS NETO, 2017).</w:t>
      </w:r>
    </w:p>
    <w:p w14:paraId="7DE9DB88" w14:textId="3CEA5725"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CONTROLE DE CONSTITUCIONALIDADE COMO GARANTIA DA SUPREMACIA DAS CONSTITUIÇÕES</w:t>
      </w:r>
    </w:p>
    <w:p w14:paraId="38458828" w14:textId="2371CCCF"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As influências europeias e suas manifestações de empoderamento às normas que garantiam a democracia representativa e os direitos humanos foram responsáveis por moldar as constituições entre o final do século XX e o início do século XXI, conforme o artigo elucida (CASTRO; NATHALIA; SANTOS NETO, 2017).</w:t>
      </w:r>
    </w:p>
    <w:p w14:paraId="04EEE37A" w14:textId="6613C921"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 manuscrito deixa claro que as constituições dos períodos citados influenciaram diretamente a forma como o Direito constitucional é compreendido atualmente no Brasil e na Argentina (CASTRO; NATHALIA; SANTOS NETO, 2017).</w:t>
      </w:r>
    </w:p>
    <w:p w14:paraId="18586ABD" w14:textId="4460D7A0"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Para impedir que a Constituição representasse apenas um símbolo de iniciativas políticas sem exigibilidade por parte do Poder Público, o principal mecanismo utilizado nos dois países foi colocar em prática a supralegalidade dessas constituições (SARMENTO; SOUZA NETO, 2016).</w:t>
      </w:r>
    </w:p>
    <w:p w14:paraId="2D6E2D64" w14:textId="655429A6"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 supremacia das normas constitucionais é assegurada pelo controle de constitucionalidade (CUNHA JUNIOR, 2009), mecanismo pelo qual o Poder Judiciário verifica a compatibilidade das leis e atos normativos com a Constituição, garantindo que nenhum dispositivo infraconstitucional possa se sobrepor às normas fundamentais.</w:t>
      </w:r>
    </w:p>
    <w:p w14:paraId="569C72AB" w14:textId="2E4D2ABE"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Os direitos individuais e coletivos, vale destacar, são tutelados por ações constitucionais conhecidas como remédios constitucionais (DANTAS, 2012), instrumentos jurídicos que permitem aos cidadãos protegerem, de forma efetiva, suas garantias fundamentais diante de ameaças ou violações.</w:t>
      </w:r>
    </w:p>
    <w:p w14:paraId="48132C61" w14:textId="78A7DA0B"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Os autores do texto explicam, de forma astuta, que para que os cidadãos possam buscar a pronúncia judicial sobre questões constitucionais, os remédios constitucionais são utilizados, enquanto, por meio do controle de constitucionalidade, promove-se a efetivação das normas, seja de maneira concreta ou abstrata (CASTRO; NATHALIA; SANTOS NETO, 2017).</w:t>
      </w:r>
    </w:p>
    <w:p w14:paraId="0DFC8C6F" w14:textId="64A60640"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 amparo, remédio constitucional existente em alguns países latino-americanos, foi previsto no controle difuso presente na Argentina, permitindo ao órgão judicial afastar a aplicação de atos contrários à Constituição (ARGENTINA, 1994, art. 116).</w:t>
      </w:r>
    </w:p>
    <w:p w14:paraId="6DBD4461" w14:textId="0E1077D9"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CONTROLE DE CONSTITUCIONALIDADE NO BRASIL</w:t>
      </w:r>
    </w:p>
    <w:p w14:paraId="31E9FE2D" w14:textId="7C138B65"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Antes de se tornar um sistema que funde elementos dos modelos difuso e concentrado, sua principal forma atual, o controle de constitucionalidade no Brasil era exercido exclusivamente pela via judicial e de forma difusa (CASTRO; NATHALIA; SANTOS NETO, 2017).</w:t>
      </w:r>
    </w:p>
    <w:p w14:paraId="4766BCB6" w14:textId="1829F856"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 Brasil sofreu forte influência do processo constituinte português (TAVARES, 1991), especialmente na estruturação das normas constitucionais e na organização dos poderes do Estado. Essa influência histórica se refletiu na adoção dos princípios fundamentais que orientam a elaboração e a interpretação das leis brasileiras, contribuindo para a consolidação de um sistema jurídico mais organizado e coerente.</w:t>
      </w:r>
    </w:p>
    <w:p w14:paraId="6EC7E596" w14:textId="2A4EAB3D"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 artigo, de forma objetiva, expõe que no Brasil a cúpula do Poder Judiciário é responsável pela realização do controle de constitucionalidade em sede abstrata. O controle difuso, contudo, também pode alcançar essa instância por meio de recursos (CASTRO; NATHALIA; SANTOS NETO, 2017).</w:t>
      </w:r>
    </w:p>
    <w:p w14:paraId="3B3FBA28" w14:textId="7E56CA49"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 manuscrito explica, de forma simples, que a Constituição brasileira é resguardada por meio da Ação Declaratória de Constitucionalidade (ADC), da Ação Direta de Inconstitucionalidade (ADI) e da Arguição de Descumprimento de Preceito Fundamental (ADPF) (CASTRO; NATHALIA; SANTOS NETO, 2017).</w:t>
      </w:r>
    </w:p>
    <w:p w14:paraId="6210275E" w14:textId="7030C3A3"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 atuação do Judiciário, aliada aos remédios constitucionais, mecanismos que garantem o acesso da população ao Judiciário, provocou um evidente aumento nas matérias de cunho constitucional analisadas (BARROSO, 2016).</w:t>
      </w:r>
    </w:p>
    <w:p w14:paraId="5CF91E7F" w14:textId="0D993B63"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Direitos fundamentais são rotineiramente tutelados pelo Judiciário por meio do controle difuso (CASTRO; NATHALIA; SANTOS NETO, 2017), mecanismo pelo qual qualquer juiz ou tribunal pode analisar a compatibilidade de normas com a Constituição em casos concretos, garantindo a proteção imediata dos direitos individuais.</w:t>
      </w:r>
    </w:p>
    <w:p w14:paraId="2FB46A5F" w14:textId="2F567605"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Em casos de ilegalidade ou abuso de autoridade pública, cabe o mandado de segurança. Nas situações relacionadas com a limitação da liberdade de informação ou de locomoção, são cabíveis, respectivamente, o habeas data e o habeas corpus (CASTRO; NATHALIA; SANTOS NETO, 2017).</w:t>
      </w:r>
    </w:p>
    <w:p w14:paraId="4A5AF022" w14:textId="5F6AC5B3"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Para tanto, o artigo habilmente disserta que para compor o Supremo Tribunal Federal, órgão responsável pelo controle concentrado, são escolhidos pelo chefe do Executivo onze ministros, cidadãos com reputação ilibada e notável saber jurídico. A escolha deve ser aprovada pelo Senado Federal, por decisão de maioria absoluta (CASTRO; NATHALIA; SANTOS NETO, 2017).</w:t>
      </w:r>
    </w:p>
    <w:p w14:paraId="6DBF4D10" w14:textId="429C7998"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CONTROLE DE CONSTITUCIONALIDADE NA ARGENTINA</w:t>
      </w:r>
    </w:p>
    <w:p w14:paraId="19CE99BA" w14:textId="7AEDFAB3"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 teoria do judicial review, de origem norte-americana, exerceu grande influência na formação do controle de constitucionalidade argentino (VISO, 2008), moldando práticas jurídicas e estruturando mecanismos pelos quais os tribunais passaram a analisar a compatibilidade das leis com a Constituição de maneira mais sistemática.</w:t>
      </w:r>
    </w:p>
    <w:p w14:paraId="78016779" w14:textId="65958FF7"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Os autores pontualmente expõem que o artigo 116 da Constituição Argentina, que trata do controle jurisdicional, foi definitivamente incorporado em 1994, embora sua aplicação já ocorresse desde o século XIX (CASTRO; NATHALIA; SANTOS NETO, 2017).</w:t>
      </w:r>
    </w:p>
    <w:p w14:paraId="5BABD07D" w14:textId="19074409"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Diferentemente da história do constitucionalismo brasileiro, que já teve sete constituições, o constitucionalismo argentino apresenta um histórico mais singular (CASTRO; NATHALIA; SANTOS NETO, 2017).</w:t>
      </w:r>
    </w:p>
    <w:p w14:paraId="5485AD7F" w14:textId="36BC50F4"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 via difusa do controle de constitucionalidade é utilizada na Argentina desde o século XIX, sendo que a Corte Suprema de Justiça da Nação Argentina criou essa via jurisprudencialmente, no julgamento do caso Cafarena c/ Banco Argentino del Rosario de Santa Fé (BIANCHI, 1998).</w:t>
      </w:r>
    </w:p>
    <w:p w14:paraId="52D2862F" w14:textId="2EF18C7E"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 Constituição argentina recepcionou diversos institutos do direito constitucional norte-americano, de forma semelhante ao Brasil após a Constituição de 1891, adotando um sistema vinculante de precedentes da Suprema Corte, sem vinculação obrigatória com as demais instâncias (CASTRO; NATHALIA; SANTOS NETO, 2017).</w:t>
      </w:r>
    </w:p>
    <w:p w14:paraId="006B8A8C" w14:textId="277F03CE"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Entretanto, a Corte Suprema passou a instituir força vinculante em seus precedentes desde a tese formulada na década de 1940 (BIANCHI, 1998, p. 358-359), consolidando um modelo jurídico em que as decisões anteriores passaram a orientar de maneira uniforme a atuação dos tribunais.</w:t>
      </w:r>
    </w:p>
    <w:p w14:paraId="34758393" w14:textId="447E6F88"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 decisão da Corte Argentina que conferiu alcance erga omnes a determinados casos é recente (BIANCHI, 1998) e representa um marco importante na consolidação de precedentes jurídicos que passam a ter efeito vinculante para todos os tribunais do país, reforçando a uniformidade na interpretação das normas e promovendo maior segurança jurídica.</w:t>
      </w:r>
    </w:p>
    <w:p w14:paraId="631B6837" w14:textId="5BFE34C7"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A Argentina continua insistindo em um sistema obrigatório baseado na construção jurisprudencial da Suprema Corte, ao contrário do Brasil, cujo sistema de precedentes pode ser alterado legislativamente, mesmo em curso (VEGA, 2015).</w:t>
      </w:r>
    </w:p>
    <w:p w14:paraId="0176263B" w14:textId="13CFFD32"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Foi apenas com o julgamento do caso D’Alessandro, ocorrido em 1997, que a Suprema Corte argentina passou a consolidar uma nova postura interpretativa, reconhecendo de forma expressa a obrigatoriedade e a vinculação de suas próprias decisões perante os tribunais inferiores, fortalecendo assim a coerência do sistema jurídico e a uniformidade da jurisprudência no país (CASTRO; NATHALIA; SANTOS NETO, 2017).</w:t>
      </w:r>
    </w:p>
    <w:p w14:paraId="69D9E86D" w14:textId="0AB36CDF"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 texto resenhado salienta que qualquer das partes interessadas em um processo judicial pode provocar a atuação de um juiz competente, para que por meio das vias ordinárias e dentro dos limites legais, ele analise e eventualmente afaste a aplicação de uma lei ou de um ato normativo considerado inconstitucional, garantindo assim o respeito à Constituição e à segurança jurídica (CASTRO; NATHALIA; SANTOS NETO, 2017).</w:t>
      </w:r>
    </w:p>
    <w:p w14:paraId="4F57C82D" w14:textId="244E4D12"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O controle de constitucionalidade na Argentina pode ser exercido de ofício pelo Judiciário, ainda que não haja a provocação das partes, demonstrando a autonomia dos tribunais na defesa da supremacia constitucional e na preservação da ordem jurídica (VISO, 2008).</w:t>
      </w:r>
    </w:p>
    <w:p w14:paraId="7091DD2F" w14:textId="117FB3BF"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Quando se trata de direitos fundamentais, o amparo é amplamente utilizado como instrumento jurídico para assegurar o cumprimento de obrigações pelo Poder Público, funcionando como um meio efetivo de proteção e garantia dos direitos previstos na Constituição argentina (CASTRO; NATHALIA; SANTOS NETO, 2017).</w:t>
      </w:r>
    </w:p>
    <w:p w14:paraId="3F4B47D8" w14:textId="0B1B7829"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Conforme destacado pelos autores, o amparo, o habeas data e o habeas corpus constituem remédios constitucionais voltados para a proteção de direitos assegurados pela Constituição, representando instrumentos essenciais de defesa das garantias fundamentais no ordenamento jurídico (CASTRO; NATHALIA; SANTOS NETO, 2017).</w:t>
      </w:r>
    </w:p>
    <w:p w14:paraId="589B5DE7" w14:textId="4E2D46EE"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Com o tempo, foi superada a impossibilidade de o Judiciário apreciar as chamadas “questões políticas”, tradição que antes limitava a jurisdição na Argentina, demonstrando uma ampliação do papel do Poder Judiciário na solução de controvérsias antes consideradas exclusivas dos outros poderes (CASTRO; NATHALIA; SANTOS NETO, 2017).</w:t>
      </w:r>
    </w:p>
    <w:p w14:paraId="6807BF68" w14:textId="779B5839"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De forma semelhante, embora não idêntica ao Brasil, os argentinos também possuem uma Corte Suprema composta por indicações do Presidente da República, que devem ser aprovadas pelo Senado, por voto de dois terços de seus membros (CASTRO; NATHALIA; SANTOS NETO, 2017).</w:t>
      </w:r>
    </w:p>
    <w:p w14:paraId="4D10C167" w14:textId="5F76D5C0" w:rsidR="00AE697D" w:rsidRPr="00024398" w:rsidRDefault="21D6F76C" w:rsidP="40960C0D">
      <w:pPr>
        <w:widowControl w:val="0"/>
        <w:spacing w:after="0" w:line="240" w:lineRule="auto"/>
        <w:ind w:firstLine="709"/>
        <w:contextualSpacing/>
        <w:jc w:val="both"/>
        <w:rPr>
          <w:rFonts w:ascii="Cambria" w:hAnsi="Cambria" w:cs="Arial"/>
        </w:rPr>
      </w:pPr>
      <w:r>
        <w:rPr>
          <w:rFonts w:ascii="Cambria" w:eastAsia="Calibri" w:hAnsi="Cambria" w:cs="Arial"/>
          <w:color w:val="000000" w:themeColor="text1"/>
        </w:rPr>
        <w:t xml:space="preserve">Por fim, os autores fecham o texto de forma precisa, explicando que a escolha dos integrantes da Corte Suprema deve, sempre que possível, refletir a diversidade em termos de especialidade, gênero e região, conforme regulamentado pelo presidente argentino em 2003, que diminuiu a discricionariedade do processo de nomeação (CASTRO; NATHALIA; SANTOS NETO, 2017).</w:t>
      </w:r>
    </w:p>
    <w:p w14:paraId="6C2E2B5D" w14:textId="3E7CA636" w:rsidR="00AE697D" w:rsidRPr="00024398" w:rsidRDefault="00AE697D" w:rsidP="00517126">
      <w:pPr>
        <w:spacing w:after="0" w:line="240" w:lineRule="auto"/>
        <w:rPr>
          <w:rFonts w:ascii="Cambria" w:hAnsi="Cambria" w:cs="Arial"/>
        </w:rPr>
      </w:pPr>
    </w:p>
    <w:p w14:paraId="68BF1A50" w14:textId="599DE04C" w:rsidR="00AE697D" w:rsidRPr="00024398" w:rsidRDefault="21D6F76C" w:rsidP="40960C0D">
      <w:pPr>
        <w:spacing w:after="0"/>
        <w:rPr>
          <w:rFonts w:ascii="Cambria" w:hAnsi="Cambria" w:cs="Arial"/>
        </w:rPr>
      </w:pPr>
      <w:r>
        <w:rPr>
          <w:rFonts w:ascii="Cambria" w:eastAsia="Arial" w:hAnsi="Cambria" w:cs="Arial"/>
          <w:b/>
          <w:bCs/>
          <w:color w:val="000000" w:themeColor="text1"/>
        </w:rPr>
        <w:t>Referências</w:t>
      </w:r>
    </w:p>
    <w:p w14:paraId="1D083E79" w14:textId="57BABBE3" w:rsidR="00AE697D" w:rsidRPr="00024398" w:rsidRDefault="00AE697D" w:rsidP="00517126">
      <w:pPr>
        <w:spacing w:after="0" w:line="240" w:lineRule="auto"/>
        <w:rPr>
          <w:rFonts w:ascii="Cambria" w:hAnsi="Cambria" w:cs="Arial"/>
        </w:rPr>
      </w:pPr>
    </w:p>
    <w:p w14:paraId="70D0AAE5" w14:textId="0E03236A"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ARAGÓN, Manuel. Constitución, democracia y control. Instituto de Investigaciones Jurídicas - serie doctrina jurídica, núm. 88. 2002.</w:t>
      </w:r>
      <w:r>
        <w:rPr>
          <w:rFonts w:ascii="Cambria" w:eastAsia="Arial" w:hAnsi="Cambria" w:cs="Arial"/>
          <w:b/>
          <w:bCs/>
          <w:color w:val="000000" w:themeColor="text1"/>
        </w:rPr>
        <w:t/>
      </w:r>
      <w:r>
        <w:rPr>
          <w:rFonts w:ascii="Cambria" w:eastAsia="Arial" w:hAnsi="Cambria" w:cs="Arial"/>
          <w:color w:val="000000" w:themeColor="text1"/>
        </w:rPr>
        <w:t/>
      </w:r>
    </w:p>
    <w:p w14:paraId="7E65DA1D" w14:textId="21C740DA" w:rsidR="00AE697D" w:rsidRPr="00024398" w:rsidRDefault="00AE697D" w:rsidP="00517126">
      <w:pPr>
        <w:spacing w:after="0" w:line="240" w:lineRule="auto"/>
        <w:rPr>
          <w:rFonts w:ascii="Cambria" w:hAnsi="Cambria" w:cs="Arial"/>
        </w:rPr>
      </w:pPr>
    </w:p>
    <w:p w14:paraId="034865B1" w14:textId="540DC9B9"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BARROSO, Luís Roberto. Judicialização, Ativismo Judicial e Legitimidade Democrática. Disponível em: acessado em: julho de 2016</w:t>
      </w:r>
      <w:r>
        <w:rPr>
          <w:rFonts w:ascii="Cambria" w:eastAsia="Arial" w:hAnsi="Cambria" w:cs="Arial"/>
          <w:b/>
          <w:bCs/>
          <w:color w:val="000000" w:themeColor="text1"/>
        </w:rPr>
        <w:t/>
      </w:r>
      <w:r>
        <w:rPr>
          <w:rFonts w:ascii="Cambria" w:eastAsia="Arial" w:hAnsi="Cambria" w:cs="Arial"/>
          <w:color w:val="000000" w:themeColor="text1"/>
        </w:rPr>
        <w:t/>
      </w:r>
    </w:p>
    <w:p w14:paraId="62E2C99A" w14:textId="32B1E3B6" w:rsidR="00AE697D" w:rsidRPr="00024398" w:rsidRDefault="00AE697D" w:rsidP="00517126">
      <w:pPr>
        <w:spacing w:after="0" w:line="240" w:lineRule="auto"/>
        <w:rPr>
          <w:rFonts w:ascii="Cambria" w:hAnsi="Cambria" w:cs="Arial"/>
        </w:rPr>
      </w:pPr>
    </w:p>
    <w:p w14:paraId="68A29496" w14:textId="701C6D70"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BELAUNDE, Domingo Garcia. De la jurisdición constitucional al derecho procesal constitucional. Lima, Peru: Editora Jurídica Grijley, 2003.</w:t>
      </w:r>
      <w:r>
        <w:rPr>
          <w:rFonts w:ascii="Cambria" w:eastAsia="Arial" w:hAnsi="Cambria" w:cs="Arial"/>
          <w:b/>
          <w:bCs/>
          <w:color w:val="000000" w:themeColor="text1"/>
        </w:rPr>
        <w:t/>
      </w:r>
      <w:r>
        <w:rPr>
          <w:rFonts w:ascii="Cambria" w:eastAsia="Arial" w:hAnsi="Cambria" w:cs="Arial"/>
          <w:color w:val="000000" w:themeColor="text1"/>
        </w:rPr>
        <w:t/>
      </w:r>
    </w:p>
    <w:p w14:paraId="5AA13FF0" w14:textId="386F1D81" w:rsidR="00AE697D" w:rsidRPr="00024398" w:rsidRDefault="00AE697D" w:rsidP="00517126">
      <w:pPr>
        <w:spacing w:after="0" w:line="240" w:lineRule="auto"/>
        <w:rPr>
          <w:rFonts w:ascii="Cambria" w:hAnsi="Cambria" w:cs="Arial"/>
        </w:rPr>
      </w:pPr>
    </w:p>
    <w:p w14:paraId="55915BA1" w14:textId="3B76D6BF"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BIANCHI, Alberto. Control de Constitucionalidad. 2ª Ed., Tomo 1, Buenos Aires: Editorial Ábaco de Rodolfo Desalma, 1998.</w:t>
      </w:r>
      <w:r>
        <w:rPr>
          <w:rFonts w:ascii="Cambria" w:eastAsia="Arial" w:hAnsi="Cambria" w:cs="Arial"/>
          <w:b/>
          <w:bCs/>
          <w:color w:val="000000" w:themeColor="text1"/>
        </w:rPr>
        <w:t/>
      </w:r>
      <w:r>
        <w:rPr>
          <w:rFonts w:ascii="Cambria" w:eastAsia="Arial" w:hAnsi="Cambria" w:cs="Arial"/>
          <w:color w:val="000000" w:themeColor="text1"/>
        </w:rPr>
        <w:t/>
      </w:r>
    </w:p>
    <w:p w14:paraId="171D51E4" w14:textId="02F740AA" w:rsidR="00AE697D" w:rsidRPr="00024398" w:rsidRDefault="00AE697D" w:rsidP="00517126">
      <w:pPr>
        <w:spacing w:after="0" w:line="240" w:lineRule="auto"/>
        <w:rPr>
          <w:rFonts w:ascii="Cambria" w:hAnsi="Cambria" w:cs="Arial"/>
        </w:rPr>
      </w:pPr>
    </w:p>
    <w:p w14:paraId="5BE2DB7C" w14:textId="429A1BC3"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CAMPOS, Bidart, Compendio de derecho constitucional. Sociedad anónima editora, comerclal, industrlal y financeira. Primeira reimpressão. 2004.</w:t>
      </w:r>
      <w:r>
        <w:rPr>
          <w:rFonts w:ascii="Cambria" w:eastAsia="Arial" w:hAnsi="Cambria" w:cs="Arial"/>
          <w:b/>
          <w:bCs/>
          <w:color w:val="000000" w:themeColor="text1"/>
        </w:rPr>
        <w:t/>
      </w:r>
      <w:r>
        <w:rPr>
          <w:rFonts w:ascii="Cambria" w:eastAsia="Arial" w:hAnsi="Cambria" w:cs="Arial"/>
          <w:color w:val="000000" w:themeColor="text1"/>
        </w:rPr>
        <w:t/>
      </w:r>
    </w:p>
    <w:p w14:paraId="2A32055D" w14:textId="7D3060EB" w:rsidR="00AE697D" w:rsidRPr="00024398" w:rsidRDefault="00AE697D" w:rsidP="00517126">
      <w:pPr>
        <w:spacing w:after="0" w:line="240" w:lineRule="auto"/>
        <w:rPr>
          <w:rFonts w:ascii="Cambria" w:hAnsi="Cambria" w:cs="Arial"/>
        </w:rPr>
      </w:pPr>
    </w:p>
    <w:p w14:paraId="47D96153" w14:textId="7FBA4DD3"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CASTRO, Gina Gouveia Pires de; NATHALIA, Thaminne; SANTOS NETO, Antônio Beserra dos. Controle de Constitucionalidade no Brasil e Argentina: as Origens e Influências do Controle de Constitucionalidade sob uma Perspectiva Comparada. Revista Juridica, [S.l.], v. 4, n. 49, p. 418 - 439, nov. 2017. ISSN 0103-3506. Disponível em: &lt;https://revista.unicuritiba.edu.br/index.php/RevJur/article/view/2300/1430&gt;. Acesso em: 08 set. 2025. DOI: http://dx.doi.org/10.26668/revistajur.2316-753X.v4i49.2300.</w:t>
      </w:r>
      <w:r>
        <w:rPr>
          <w:rFonts w:ascii="Cambria" w:eastAsia="Arial" w:hAnsi="Cambria" w:cs="Arial"/>
          <w:b/>
          <w:bCs/>
          <w:color w:val="000000" w:themeColor="text1"/>
        </w:rPr>
        <w:t/>
      </w:r>
      <w:r>
        <w:rPr>
          <w:rFonts w:ascii="Cambria" w:eastAsia="Arial" w:hAnsi="Cambria" w:cs="Arial"/>
          <w:color w:val="000000" w:themeColor="text1"/>
        </w:rPr>
        <w:t/>
      </w:r>
    </w:p>
    <w:p w14:paraId="23F7C6B0" w14:textId="41C87D5B" w:rsidR="00AE697D" w:rsidRPr="00024398" w:rsidRDefault="00AE697D" w:rsidP="00517126">
      <w:pPr>
        <w:spacing w:after="0" w:line="240" w:lineRule="auto"/>
        <w:rPr>
          <w:rFonts w:ascii="Cambria" w:hAnsi="Cambria" w:cs="Arial"/>
        </w:rPr>
      </w:pPr>
    </w:p>
    <w:p w14:paraId="4F281F5F" w14:textId="07F26554"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CAPPELLETTI, Mauro. O Controle Judicial de Leis no Direito Comparado. 2ª ed. 1999. Porto Alegre: Sergio Antonio Fabris Editor</w:t>
      </w:r>
      <w:r>
        <w:rPr>
          <w:rFonts w:ascii="Cambria" w:eastAsia="Arial" w:hAnsi="Cambria" w:cs="Arial"/>
          <w:b/>
          <w:bCs/>
          <w:color w:val="000000" w:themeColor="text1"/>
        </w:rPr>
        <w:t/>
      </w:r>
      <w:r>
        <w:rPr>
          <w:rFonts w:ascii="Cambria" w:eastAsia="Arial" w:hAnsi="Cambria" w:cs="Arial"/>
          <w:color w:val="000000" w:themeColor="text1"/>
        </w:rPr>
        <w:t/>
      </w:r>
    </w:p>
    <w:p w14:paraId="78F0B4ED" w14:textId="5B68B504" w:rsidR="00AE697D" w:rsidRPr="00024398" w:rsidRDefault="00AE697D" w:rsidP="00517126">
      <w:pPr>
        <w:spacing w:after="0" w:line="240" w:lineRule="auto"/>
        <w:rPr>
          <w:rFonts w:ascii="Cambria" w:hAnsi="Cambria" w:cs="Arial"/>
        </w:rPr>
      </w:pPr>
    </w:p>
    <w:p w14:paraId="78D2CCFD" w14:textId="5B1E76B0"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CUNHA JÚNIOR, Dirley. Curso de Direito Constitucional. 3. ed. Salvador: Juspodivm, 2009.</w:t>
      </w:r>
      <w:r>
        <w:rPr>
          <w:rFonts w:ascii="Cambria" w:eastAsia="Arial" w:hAnsi="Cambria" w:cs="Arial"/>
          <w:b/>
          <w:bCs/>
          <w:color w:val="000000" w:themeColor="text1"/>
        </w:rPr>
        <w:t/>
      </w:r>
      <w:r>
        <w:rPr>
          <w:rFonts w:ascii="Cambria" w:eastAsia="Arial" w:hAnsi="Cambria" w:cs="Arial"/>
          <w:color w:val="000000" w:themeColor="text1"/>
        </w:rPr>
        <w:t/>
      </w:r>
    </w:p>
    <w:p w14:paraId="14C8DEFD" w14:textId="5A726481" w:rsidR="00AE697D" w:rsidRPr="00024398" w:rsidRDefault="00AE697D" w:rsidP="00517126">
      <w:pPr>
        <w:spacing w:after="0" w:line="240" w:lineRule="auto"/>
        <w:rPr>
          <w:rFonts w:ascii="Cambria" w:hAnsi="Cambria" w:cs="Arial"/>
        </w:rPr>
      </w:pPr>
    </w:p>
    <w:p w14:paraId="4D13E0A1" w14:textId="548B9513"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DALMAU, Rubén Martínez e PASTOR, Roberto Viciano. Los processos constituyentes latino-americanos y el nuevo paradigma constitucional, IUS. Revista del Instituto de Ciencias Jurídicas de Puebla A.C., núm. 25, 2010, pp. 7-29</w:t>
      </w:r>
      <w:r>
        <w:rPr>
          <w:rFonts w:ascii="Cambria" w:eastAsia="Arial" w:hAnsi="Cambria" w:cs="Arial"/>
          <w:b/>
          <w:bCs/>
          <w:color w:val="000000" w:themeColor="text1"/>
        </w:rPr>
        <w:t/>
      </w:r>
      <w:r>
        <w:rPr>
          <w:rFonts w:ascii="Cambria" w:eastAsia="Arial" w:hAnsi="Cambria" w:cs="Arial"/>
          <w:color w:val="000000" w:themeColor="text1"/>
        </w:rPr>
        <w:t/>
      </w:r>
    </w:p>
    <w:p w14:paraId="36D191D1" w14:textId="1CAC50EC" w:rsidR="00AE697D" w:rsidRPr="00024398" w:rsidRDefault="00AE697D" w:rsidP="00517126">
      <w:pPr>
        <w:spacing w:after="0" w:line="240" w:lineRule="auto"/>
        <w:rPr>
          <w:rFonts w:ascii="Cambria" w:hAnsi="Cambria" w:cs="Arial"/>
        </w:rPr>
      </w:pPr>
    </w:p>
    <w:p w14:paraId="4320C4B8" w14:textId="1912ECA3"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DANTAS, Ivo. Constituição &amp; Processo. 2ª ed. Curitiba: Juruá, 2012</w:t>
      </w:r>
      <w:r>
        <w:rPr>
          <w:rFonts w:ascii="Cambria" w:eastAsia="Arial" w:hAnsi="Cambria" w:cs="Arial"/>
          <w:b/>
          <w:bCs/>
          <w:color w:val="000000" w:themeColor="text1"/>
        </w:rPr>
        <w:t/>
      </w:r>
      <w:r>
        <w:rPr>
          <w:rFonts w:ascii="Cambria" w:eastAsia="Arial" w:hAnsi="Cambria" w:cs="Arial"/>
          <w:color w:val="000000" w:themeColor="text1"/>
        </w:rPr>
        <w:t/>
      </w:r>
    </w:p>
    <w:p w14:paraId="6F321161" w14:textId="4C296A2C" w:rsidR="00AE697D" w:rsidRPr="00024398" w:rsidRDefault="00AE697D" w:rsidP="00517126">
      <w:pPr>
        <w:spacing w:after="0" w:line="240" w:lineRule="auto"/>
        <w:rPr>
          <w:rFonts w:ascii="Cambria" w:hAnsi="Cambria" w:cs="Arial"/>
        </w:rPr>
      </w:pPr>
    </w:p>
    <w:p w14:paraId="5FFCFC0E" w14:textId="2D32F497"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FAVOREU, Louis. As Cortes Constitucionais. Trad. Dunia Marinho Silva. São Paulo: Landy, 2004</w:t>
      </w:r>
      <w:r>
        <w:rPr>
          <w:rFonts w:ascii="Cambria" w:eastAsia="Arial" w:hAnsi="Cambria" w:cs="Arial"/>
          <w:b/>
          <w:bCs/>
          <w:color w:val="000000" w:themeColor="text1"/>
        </w:rPr>
        <w:t/>
      </w:r>
      <w:r>
        <w:rPr>
          <w:rFonts w:ascii="Cambria" w:eastAsia="Arial" w:hAnsi="Cambria" w:cs="Arial"/>
          <w:color w:val="000000" w:themeColor="text1"/>
        </w:rPr>
        <w:t/>
      </w:r>
    </w:p>
    <w:p w14:paraId="013A9611" w14:textId="10B8A4D4" w:rsidR="00AE697D" w:rsidRPr="00024398" w:rsidRDefault="00AE697D" w:rsidP="00517126">
      <w:pPr>
        <w:spacing w:after="0" w:line="240" w:lineRule="auto"/>
        <w:rPr>
          <w:rFonts w:ascii="Cambria" w:hAnsi="Cambria" w:cs="Arial"/>
        </w:rPr>
      </w:pPr>
    </w:p>
    <w:p w14:paraId="4066DCCE" w14:textId="6DED82D6"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FERREIRA, Livia da Silva. A Questão Prioritária de Constitucionalidade do Direito Francês. 2014. 136 p. Dissertação (mestrado) - Pontífica Universidade Católica do Rio de Janeiro, Rio de Janeiro. 2014</w:t>
      </w:r>
      <w:r>
        <w:rPr>
          <w:rFonts w:ascii="Cambria" w:eastAsia="Arial" w:hAnsi="Cambria" w:cs="Arial"/>
          <w:b/>
          <w:bCs/>
          <w:color w:val="000000" w:themeColor="text1"/>
        </w:rPr>
        <w:t/>
      </w:r>
      <w:r>
        <w:rPr>
          <w:rFonts w:ascii="Cambria" w:eastAsia="Arial" w:hAnsi="Cambria" w:cs="Arial"/>
          <w:color w:val="000000" w:themeColor="text1"/>
        </w:rPr>
        <w:t/>
      </w:r>
    </w:p>
    <w:p w14:paraId="77C28729" w14:textId="46FB7B53" w:rsidR="00AE697D" w:rsidRPr="00024398" w:rsidRDefault="00AE697D" w:rsidP="00517126">
      <w:pPr>
        <w:spacing w:after="0" w:line="240" w:lineRule="auto"/>
        <w:rPr>
          <w:rFonts w:ascii="Cambria" w:hAnsi="Cambria" w:cs="Arial"/>
        </w:rPr>
      </w:pPr>
    </w:p>
    <w:p w14:paraId="650A250A" w14:textId="7466E046"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GONÇALVES, Jonas Rodrigo. Como elaborar uma resenha de um artigo acadêmico ou científico. Revista JRG de Estudos Acadêmicos. Vol. 3, n. 7, p. 95–107, 2020. DOI: 10.5281/zenodo.3969652. Disponível em: &lt;http://revistajrg.com/index.php/jrg/article/view/41&gt;. Acesso em: 3 ago. 2021.</w:t>
      </w:r>
      <w:r>
        <w:rPr>
          <w:rFonts w:ascii="Cambria" w:eastAsia="Arial" w:hAnsi="Cambria" w:cs="Arial"/>
          <w:b/>
          <w:bCs/>
          <w:color w:val="000000" w:themeColor="text1"/>
        </w:rPr>
        <w:t/>
      </w:r>
      <w:r>
        <w:rPr>
          <w:rFonts w:ascii="Cambria" w:eastAsia="Arial" w:hAnsi="Cambria" w:cs="Arial"/>
          <w:color w:val="000000" w:themeColor="text1"/>
        </w:rPr>
        <w:t/>
      </w:r>
    </w:p>
    <w:p w14:paraId="6ED77542" w14:textId="13B05AC9" w:rsidR="00AE697D" w:rsidRPr="00024398" w:rsidRDefault="00AE697D" w:rsidP="00517126">
      <w:pPr>
        <w:spacing w:after="0" w:line="240" w:lineRule="auto"/>
        <w:rPr>
          <w:rFonts w:ascii="Cambria" w:hAnsi="Cambria" w:cs="Arial"/>
        </w:rPr>
      </w:pPr>
    </w:p>
    <w:p w14:paraId="01903F1D" w14:textId="2F2933AF"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GONÇALVES, Jonas Rodrigo. Como escrever um artigo de revisão de literatura. Revista JRG de Estudos Acadêmicos. Vol. 2, n. 5, p. 29–55, 2019. DOI: 10.5281/zenodo.4319105. Disponível em: &lt;http://revistajrg.com/index.php/jrg/article/view/122&gt;. Acesso em: 13 ago. 2021.</w:t>
      </w:r>
      <w:r>
        <w:rPr>
          <w:rFonts w:ascii="Cambria" w:eastAsia="Arial" w:hAnsi="Cambria" w:cs="Arial"/>
          <w:b/>
          <w:bCs/>
          <w:color w:val="000000" w:themeColor="text1"/>
        </w:rPr>
        <w:t/>
      </w:r>
      <w:r>
        <w:rPr>
          <w:rFonts w:ascii="Cambria" w:eastAsia="Arial" w:hAnsi="Cambria" w:cs="Arial"/>
          <w:color w:val="000000" w:themeColor="text1"/>
        </w:rPr>
        <w:t/>
      </w:r>
    </w:p>
    <w:p w14:paraId="224CEDC3" w14:textId="0E4B20A3" w:rsidR="00AE697D" w:rsidRPr="00024398" w:rsidRDefault="00AE697D" w:rsidP="00517126">
      <w:pPr>
        <w:spacing w:after="0" w:line="240" w:lineRule="auto"/>
        <w:rPr>
          <w:rFonts w:ascii="Cambria" w:hAnsi="Cambria" w:cs="Arial"/>
        </w:rPr>
      </w:pPr>
    </w:p>
    <w:p w14:paraId="2CD6A1CD" w14:textId="0F27E184"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GONÇALVES, Jonas Rodrigo. Como fazer um projeto de pesquisa de um artigo de revisão de literatura. Revista JRG de Estudos Acadêmicos. Vol. 2, n. 5, p. 01–28, 2019. DOI: 10.5281/zenodo.4319102. Disponível em: &lt;http://revistajrg.com/index.php/jrg/article/view/121&gt;. Acesso em: 13 ago. 2021.</w:t>
      </w:r>
      <w:r>
        <w:rPr>
          <w:rFonts w:ascii="Cambria" w:eastAsia="Arial" w:hAnsi="Cambria" w:cs="Arial"/>
          <w:b/>
          <w:bCs/>
          <w:color w:val="000000" w:themeColor="text1"/>
        </w:rPr>
        <w:t/>
      </w:r>
      <w:r>
        <w:rPr>
          <w:rFonts w:ascii="Cambria" w:eastAsia="Arial" w:hAnsi="Cambria" w:cs="Arial"/>
          <w:color w:val="000000" w:themeColor="text1"/>
        </w:rPr>
        <w:t/>
      </w:r>
    </w:p>
    <w:p w14:paraId="5E82A3C7" w14:textId="2BD3C3CD" w:rsidR="00AE697D" w:rsidRPr="00024398" w:rsidRDefault="00AE697D" w:rsidP="00517126">
      <w:pPr>
        <w:spacing w:after="0" w:line="240" w:lineRule="auto"/>
        <w:rPr>
          <w:rFonts w:ascii="Cambria" w:hAnsi="Cambria" w:cs="Arial"/>
        </w:rPr>
      </w:pPr>
    </w:p>
    <w:p w14:paraId="276BFB7E" w14:textId="1A4FA440"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GONÇALVES, Jonas Rodrigo. Escolha do tema de trabalho de curso na graduação em Direito. Revista Coleta Científica. Vol. 5, n. 9, p. 88–118, 2021. DOI: 10.5281/zenodo.5150811. Disponível em: &lt;http://portalcoleta.com.br/index.php/rcc/article/view/58&gt;. Acesso em: 13 ago. 2021.</w:t>
      </w:r>
      <w:r>
        <w:rPr>
          <w:rFonts w:ascii="Cambria" w:eastAsia="Arial" w:hAnsi="Cambria" w:cs="Arial"/>
          <w:b/>
          <w:bCs/>
          <w:color w:val="000000" w:themeColor="text1"/>
        </w:rPr>
        <w:t/>
      </w:r>
      <w:r>
        <w:rPr>
          <w:rFonts w:ascii="Cambria" w:eastAsia="Arial" w:hAnsi="Cambria" w:cs="Arial"/>
          <w:color w:val="000000" w:themeColor="text1"/>
        </w:rPr>
        <w:t/>
      </w:r>
    </w:p>
    <w:p w14:paraId="447D898E" w14:textId="4890EC14" w:rsidR="00AE697D" w:rsidRPr="00024398" w:rsidRDefault="00AE697D" w:rsidP="00517126">
      <w:pPr>
        <w:spacing w:after="0" w:line="240" w:lineRule="auto"/>
        <w:rPr>
          <w:rFonts w:ascii="Cambria" w:hAnsi="Cambria" w:cs="Arial"/>
        </w:rPr>
      </w:pPr>
    </w:p>
    <w:p w14:paraId="716E9FB3" w14:textId="61B88679"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GUERCI, Ana Valeria. ¿Por qué el daño es la única llave para abrir el control de constitucionalidad? In: Jornadas Argentino-Chilenas de Filosofía del Derecho y Derecho Constitucional. 2012. Disponível em: http://www.saij.gob.ar. Acessado em novembro de 2016.</w:t>
      </w:r>
      <w:r>
        <w:rPr>
          <w:rFonts w:ascii="Cambria" w:eastAsia="Arial" w:hAnsi="Cambria" w:cs="Arial"/>
          <w:b/>
          <w:bCs/>
          <w:color w:val="000000" w:themeColor="text1"/>
        </w:rPr>
        <w:t/>
      </w:r>
      <w:r>
        <w:rPr>
          <w:rFonts w:ascii="Cambria" w:eastAsia="Arial" w:hAnsi="Cambria" w:cs="Arial"/>
          <w:color w:val="000000" w:themeColor="text1"/>
        </w:rPr>
        <w:t/>
      </w:r>
    </w:p>
    <w:p w14:paraId="1A77D096" w14:textId="5C6502F2" w:rsidR="00AE697D" w:rsidRPr="00024398" w:rsidRDefault="00AE697D" w:rsidP="00517126">
      <w:pPr>
        <w:spacing w:after="0" w:line="240" w:lineRule="auto"/>
        <w:rPr>
          <w:rFonts w:ascii="Cambria" w:hAnsi="Cambria" w:cs="Arial"/>
        </w:rPr>
      </w:pPr>
    </w:p>
    <w:p w14:paraId="154D9CBD" w14:textId="270CC9E4"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HAMILTON, Alexander; MADISON, James; e JAY, John. O federalista. Belo Horizonte: Livraria Líder e Editora Ltda., 2003</w:t>
      </w:r>
      <w:r>
        <w:rPr>
          <w:rFonts w:ascii="Cambria" w:eastAsia="Arial" w:hAnsi="Cambria" w:cs="Arial"/>
          <w:b/>
          <w:bCs/>
          <w:color w:val="000000" w:themeColor="text1"/>
        </w:rPr>
        <w:t/>
      </w:r>
      <w:r>
        <w:rPr>
          <w:rFonts w:ascii="Cambria" w:eastAsia="Arial" w:hAnsi="Cambria" w:cs="Arial"/>
          <w:color w:val="000000" w:themeColor="text1"/>
        </w:rPr>
        <w:t/>
      </w:r>
    </w:p>
    <w:p w14:paraId="7AED50C7" w14:textId="2CE999D3" w:rsidR="00AE697D" w:rsidRPr="00024398" w:rsidRDefault="00AE697D" w:rsidP="00517126">
      <w:pPr>
        <w:spacing w:after="0" w:line="240" w:lineRule="auto"/>
        <w:rPr>
          <w:rFonts w:ascii="Cambria" w:hAnsi="Cambria" w:cs="Arial"/>
        </w:rPr>
      </w:pPr>
    </w:p>
    <w:p w14:paraId="3379D4A2" w14:textId="0CF70B08"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HORTA, Raul Machado. Direito Constitucional. 4ª Ed. Belo Horizonte: Del Rey. 2003.</w:t>
      </w:r>
      <w:r>
        <w:rPr>
          <w:rFonts w:ascii="Cambria" w:eastAsia="Arial" w:hAnsi="Cambria" w:cs="Arial"/>
          <w:b/>
          <w:bCs/>
          <w:color w:val="000000" w:themeColor="text1"/>
        </w:rPr>
        <w:t/>
      </w:r>
      <w:r>
        <w:rPr>
          <w:rFonts w:ascii="Cambria" w:eastAsia="Arial" w:hAnsi="Cambria" w:cs="Arial"/>
          <w:color w:val="000000" w:themeColor="text1"/>
        </w:rPr>
        <w:t/>
      </w:r>
    </w:p>
    <w:p w14:paraId="4B80AAFD" w14:textId="65FB727C" w:rsidR="00AE697D" w:rsidRPr="00024398" w:rsidRDefault="00AE697D" w:rsidP="00517126">
      <w:pPr>
        <w:spacing w:after="0" w:line="240" w:lineRule="auto"/>
        <w:rPr>
          <w:rFonts w:ascii="Cambria" w:hAnsi="Cambria" w:cs="Arial"/>
        </w:rPr>
      </w:pPr>
    </w:p>
    <w:p w14:paraId="07DE2D5D" w14:textId="2CF4CD0A"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JIMENEZ, William Ortiz. Los tres nuevos procesos constituyentes en América Latina: los cambios políticos y los sujetos que los Impulsan, Diálogos de Saberes, num. 38, junho de 2013, Universidad Nacional de Colombia, Medellin. P. 97-115</w:t>
      </w:r>
      <w:r>
        <w:rPr>
          <w:rFonts w:ascii="Cambria" w:eastAsia="Arial" w:hAnsi="Cambria" w:cs="Arial"/>
          <w:b/>
          <w:bCs/>
          <w:color w:val="000000" w:themeColor="text1"/>
        </w:rPr>
        <w:t/>
      </w:r>
      <w:r>
        <w:rPr>
          <w:rFonts w:ascii="Cambria" w:eastAsia="Arial" w:hAnsi="Cambria" w:cs="Arial"/>
          <w:color w:val="000000" w:themeColor="text1"/>
        </w:rPr>
        <w:t/>
      </w:r>
    </w:p>
    <w:p w14:paraId="50DA6C7A" w14:textId="4A9F4DFB" w:rsidR="00AE697D" w:rsidRPr="00024398" w:rsidRDefault="00AE697D" w:rsidP="00517126">
      <w:pPr>
        <w:spacing w:after="0" w:line="240" w:lineRule="auto"/>
        <w:rPr>
          <w:rFonts w:ascii="Cambria" w:hAnsi="Cambria" w:cs="Arial"/>
        </w:rPr>
      </w:pPr>
    </w:p>
    <w:p w14:paraId="6AD729A0" w14:textId="78BD4AA3"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MARINONI, Luiz Guilherme. Precedentes Obrigatórios. 5ª ed. São Paulo: RT, 2014</w:t>
      </w:r>
      <w:r>
        <w:rPr>
          <w:rFonts w:ascii="Cambria" w:eastAsia="Arial" w:hAnsi="Cambria" w:cs="Arial"/>
          <w:b/>
          <w:bCs/>
          <w:color w:val="000000" w:themeColor="text1"/>
        </w:rPr>
        <w:t/>
      </w:r>
      <w:r>
        <w:rPr>
          <w:rFonts w:ascii="Cambria" w:eastAsia="Arial" w:hAnsi="Cambria" w:cs="Arial"/>
          <w:color w:val="000000" w:themeColor="text1"/>
        </w:rPr>
        <w:t/>
      </w:r>
    </w:p>
    <w:p w14:paraId="44A10624" w14:textId="7C74DBA7" w:rsidR="00AE697D" w:rsidRPr="00024398" w:rsidRDefault="00AE697D" w:rsidP="00517126">
      <w:pPr>
        <w:spacing w:after="0" w:line="240" w:lineRule="auto"/>
        <w:rPr>
          <w:rFonts w:ascii="Cambria" w:hAnsi="Cambria" w:cs="Arial"/>
        </w:rPr>
      </w:pPr>
    </w:p>
    <w:p w14:paraId="08CD5068" w14:textId="0B2DDA28"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VISO, Adela Pérez del. Planteo del "Sistema Británico y Norteamericano" en relación con el sistema latino y argentino, 2008. Disponível em: http://www.saij.gob.ar. Acesso em: novembro de 2016.</w:t>
      </w:r>
      <w:r>
        <w:rPr>
          <w:rFonts w:ascii="Cambria" w:eastAsia="Arial" w:hAnsi="Cambria" w:cs="Arial"/>
          <w:b/>
          <w:bCs/>
          <w:color w:val="000000" w:themeColor="text1"/>
        </w:rPr>
        <w:t/>
      </w:r>
      <w:r>
        <w:rPr>
          <w:rFonts w:ascii="Cambria" w:eastAsia="Arial" w:hAnsi="Cambria" w:cs="Arial"/>
          <w:color w:val="000000" w:themeColor="text1"/>
        </w:rPr>
        <w:t/>
      </w:r>
    </w:p>
    <w:p w14:paraId="5574FDCE" w14:textId="50B082F7" w:rsidR="00AE697D" w:rsidRPr="00024398" w:rsidRDefault="00AE697D" w:rsidP="00517126">
      <w:pPr>
        <w:spacing w:after="0" w:line="240" w:lineRule="auto"/>
        <w:rPr>
          <w:rFonts w:ascii="Cambria" w:hAnsi="Cambria" w:cs="Arial"/>
        </w:rPr>
      </w:pPr>
    </w:p>
    <w:p w14:paraId="69ACD50A" w14:textId="30A4B220"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ROLLA, Giancarlo. La evolución del constitucionalismo en américa latina y la originalidad de las experiencias de justicia constitucional. Anuario Iberoamericano de Justicia Constitucional, num. 16, Madrid, 2012. P. 329-351.</w:t>
      </w:r>
      <w:r>
        <w:rPr>
          <w:rFonts w:ascii="Cambria" w:eastAsia="Arial" w:hAnsi="Cambria" w:cs="Arial"/>
          <w:b/>
          <w:bCs/>
          <w:color w:val="000000" w:themeColor="text1"/>
        </w:rPr>
        <w:t/>
      </w:r>
      <w:r>
        <w:rPr>
          <w:rFonts w:ascii="Cambria" w:eastAsia="Arial" w:hAnsi="Cambria" w:cs="Arial"/>
          <w:color w:val="000000" w:themeColor="text1"/>
        </w:rPr>
        <w:t/>
      </w:r>
    </w:p>
    <w:p w14:paraId="67C74E2B" w14:textId="0028F51D" w:rsidR="00AE697D" w:rsidRPr="00024398" w:rsidRDefault="00AE697D" w:rsidP="00517126">
      <w:pPr>
        <w:spacing w:after="0" w:line="240" w:lineRule="auto"/>
        <w:rPr>
          <w:rFonts w:ascii="Cambria" w:hAnsi="Cambria" w:cs="Arial"/>
        </w:rPr>
      </w:pPr>
    </w:p>
    <w:p w14:paraId="3433FF68" w14:textId="42AC9DD9"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SAMPAIO, José Adércio Leite. A Constituição reinventada pela jurisdição constitucional. Belo Horizonte: Del Rey, 2002</w:t>
      </w:r>
      <w:r>
        <w:rPr>
          <w:rFonts w:ascii="Cambria" w:eastAsia="Arial" w:hAnsi="Cambria" w:cs="Arial"/>
          <w:b/>
          <w:bCs/>
          <w:color w:val="000000" w:themeColor="text1"/>
        </w:rPr>
        <w:t/>
      </w:r>
      <w:r>
        <w:rPr>
          <w:rFonts w:ascii="Cambria" w:eastAsia="Arial" w:hAnsi="Cambria" w:cs="Arial"/>
          <w:color w:val="000000" w:themeColor="text1"/>
        </w:rPr>
        <w:t/>
      </w:r>
    </w:p>
    <w:p w14:paraId="0EC48223" w14:textId="207592C5" w:rsidR="00AE697D" w:rsidRPr="00024398" w:rsidRDefault="00AE697D" w:rsidP="00517126">
      <w:pPr>
        <w:spacing w:after="0" w:line="240" w:lineRule="auto"/>
        <w:rPr>
          <w:rFonts w:ascii="Cambria" w:hAnsi="Cambria" w:cs="Arial"/>
        </w:rPr>
      </w:pPr>
    </w:p>
    <w:p w14:paraId="3BF289BD" w14:textId="76688FB4"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SARMENTO, Daniel e SOUZA NETO, Cláudio Pereira de Souza. Direito Constitucional – teoria, história e métodos de trabalho. Belo Horizonte: Fórum, 2016, p. 26</w:t>
      </w:r>
      <w:r>
        <w:rPr>
          <w:rFonts w:ascii="Cambria" w:eastAsia="Arial" w:hAnsi="Cambria" w:cs="Arial"/>
          <w:b/>
          <w:bCs/>
          <w:color w:val="000000" w:themeColor="text1"/>
        </w:rPr>
        <w:t/>
      </w:r>
      <w:r>
        <w:rPr>
          <w:rFonts w:ascii="Cambria" w:eastAsia="Arial" w:hAnsi="Cambria" w:cs="Arial"/>
          <w:color w:val="000000" w:themeColor="text1"/>
        </w:rPr>
        <w:t/>
      </w:r>
    </w:p>
    <w:p w14:paraId="1DDF9B62" w14:textId="36C4FB18" w:rsidR="00AE697D" w:rsidRPr="00024398" w:rsidRDefault="00AE697D" w:rsidP="00517126">
      <w:pPr>
        <w:spacing w:after="0" w:line="240" w:lineRule="auto"/>
        <w:rPr>
          <w:rFonts w:ascii="Cambria" w:hAnsi="Cambria" w:cs="Arial"/>
        </w:rPr>
      </w:pPr>
    </w:p>
    <w:p w14:paraId="1569FA64" w14:textId="75B72E67"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STRECK, Lênio Luiz. Jurisdição Constitucional e Decisão Jurídica. 4ª Ed. São Paulo: Revista dos Tribunais, 2014</w:t>
      </w:r>
      <w:r>
        <w:rPr>
          <w:rFonts w:ascii="Cambria" w:eastAsia="Arial" w:hAnsi="Cambria" w:cs="Arial"/>
          <w:b/>
          <w:bCs/>
          <w:color w:val="000000" w:themeColor="text1"/>
        </w:rPr>
        <w:t/>
      </w:r>
      <w:r>
        <w:rPr>
          <w:rFonts w:ascii="Cambria" w:eastAsia="Arial" w:hAnsi="Cambria" w:cs="Arial"/>
          <w:color w:val="000000" w:themeColor="text1"/>
        </w:rPr>
        <w:t/>
      </w:r>
    </w:p>
    <w:p w14:paraId="608D8AF2" w14:textId="6A4E293C" w:rsidR="00AE697D" w:rsidRPr="00024398" w:rsidRDefault="00AE697D" w:rsidP="00517126">
      <w:pPr>
        <w:spacing w:after="0" w:line="240" w:lineRule="auto"/>
        <w:rPr>
          <w:rFonts w:ascii="Cambria" w:hAnsi="Cambria" w:cs="Arial"/>
        </w:rPr>
      </w:pPr>
    </w:p>
    <w:p w14:paraId="1E767CC8" w14:textId="05F304B6"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TAVARES, Ana Lucia de Lira. A constituição brasileira de 1988: subsídios para os comparatistas. Revista de Informação Legislativa. Brasília, ano 28, nº 109, jan/mar – 1991</w:t>
      </w:r>
      <w:r>
        <w:rPr>
          <w:rFonts w:ascii="Cambria" w:eastAsia="Arial" w:hAnsi="Cambria" w:cs="Arial"/>
          <w:b/>
          <w:bCs/>
          <w:color w:val="000000" w:themeColor="text1"/>
        </w:rPr>
        <w:t/>
      </w:r>
      <w:r>
        <w:rPr>
          <w:rFonts w:ascii="Cambria" w:eastAsia="Arial" w:hAnsi="Cambria" w:cs="Arial"/>
          <w:color w:val="000000" w:themeColor="text1"/>
        </w:rPr>
        <w:t/>
      </w:r>
    </w:p>
    <w:p w14:paraId="57BCD2A5" w14:textId="0CB9E15D" w:rsidR="00AE697D" w:rsidRPr="00024398" w:rsidRDefault="00AE697D" w:rsidP="00517126">
      <w:pPr>
        <w:spacing w:after="0" w:line="240" w:lineRule="auto"/>
        <w:rPr>
          <w:rFonts w:ascii="Cambria" w:hAnsi="Cambria" w:cs="Arial"/>
        </w:rPr>
      </w:pPr>
    </w:p>
    <w:p w14:paraId="3526ABD9" w14:textId="15E4E361"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VEGA, Gustavo J. Obligatoriedad de los precedentes en el sistema argentino. Disponível em: http://www.saij.gob.ar. Acessado em novembro de 2016.</w:t>
      </w:r>
      <w:r>
        <w:rPr>
          <w:rFonts w:ascii="Cambria" w:eastAsia="Arial" w:hAnsi="Cambria" w:cs="Arial"/>
          <w:b/>
          <w:bCs/>
          <w:color w:val="000000" w:themeColor="text1"/>
        </w:rPr>
        <w:t/>
      </w:r>
      <w:r>
        <w:rPr>
          <w:rFonts w:ascii="Cambria" w:eastAsia="Arial" w:hAnsi="Cambria" w:cs="Arial"/>
          <w:color w:val="000000" w:themeColor="text1"/>
        </w:rPr>
        <w:t/>
      </w:r>
    </w:p>
    <w:p w14:paraId="26795F0E" w14:textId="295C5C80" w:rsidR="00AE697D" w:rsidRPr="00024398" w:rsidRDefault="00AE697D" w:rsidP="00517126">
      <w:pPr>
        <w:spacing w:after="0" w:line="240" w:lineRule="auto"/>
        <w:rPr>
          <w:rFonts w:ascii="Cambria" w:hAnsi="Cambria" w:cs="Arial"/>
        </w:rPr>
      </w:pPr>
    </w:p>
    <w:p w14:paraId="4BF7530F" w14:textId="395CD5E6" w:rsidR="001224E9" w:rsidRPr="00024398" w:rsidRDefault="001224E9" w:rsidP="0093718A">
      <w:pPr>
        <w:spacing w:after="0" w:line="240" w:lineRule="auto"/>
        <w:rPr>
          <w:rFonts w:ascii="Cambria" w:hAnsi="Cambria" w:cs="Arial"/>
        </w:rPr>
      </w:pPr>
      <w:r>
        <w:rPr>
          <w:rFonts w:ascii="Cambria" w:eastAsia="Arial" w:hAnsi="Cambria" w:cs="Arial"/>
          <w:color w:val="000000" w:themeColor="text1"/>
        </w:rPr>
        <w:t xml:space="preserve">WOLKMER, Antonio Carlos. Pluralismo e crítica do constitucionalismo na América Latina. Anais do IX Simpósio de Direito Constitucional da ABDConst. - Curitiba, PR: ABDConst., 2011</w:t>
      </w:r>
      <w:r>
        <w:rPr>
          <w:rFonts w:ascii="Cambria" w:eastAsia="Arial" w:hAnsi="Cambria" w:cs="Arial"/>
          <w:b/>
          <w:bCs/>
          <w:color w:val="000000" w:themeColor="text1"/>
        </w:rPr>
        <w:t/>
      </w:r>
      <w:r>
        <w:rPr>
          <w:rFonts w:ascii="Cambria" w:eastAsia="Arial" w:hAnsi="Cambria" w:cs="Arial"/>
          <w:color w:val="000000" w:themeColor="text1"/>
        </w:rPr>
        <w:t/>
      </w:r>
    </w:p>
    <w:sectPr w:rsidR="00AE697D" w:rsidRPr="00024398" w:rsidSect="00024398">
      <w:headerReference w:type="default" r:id="rId10"/>
      <w:footerReference w:type="even" r:id="rId11"/>
      <w:footerReference w:type="default" r:id="rId12"/>
      <w:headerReference w:type="first" r:id="rId13"/>
      <w:footerReference w:type="first" r:id="rId14"/>
      <w:pgSz w:w="11906" w:h="16838"/>
      <w:pgMar w:top="1701"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DD7E" w14:textId="77777777" w:rsidR="00760FAB" w:rsidRDefault="00760FAB" w:rsidP="00A27A51">
      <w:pPr>
        <w:spacing w:after="0" w:line="240" w:lineRule="auto"/>
      </w:pPr>
      <w:r>
        <w:separator/>
      </w:r>
    </w:p>
  </w:endnote>
  <w:endnote w:type="continuationSeparator" w:id="0">
    <w:p w14:paraId="12F8C97E" w14:textId="77777777" w:rsidR="00760FAB" w:rsidRDefault="00760FAB" w:rsidP="00A2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AD7A" w14:textId="131236A0" w:rsidR="00A27A51" w:rsidRDefault="00A27A51">
    <w:pPr>
      <w:pStyle w:val="Rodap"/>
    </w:pPr>
    <w:r>
      <w:rPr>
        <w:noProof/>
      </w:rPr>
      <mc:AlternateContent>
        <mc:Choice Requires="wps">
          <w:drawing>
            <wp:anchor distT="0" distB="0" distL="0" distR="0" simplePos="0" relativeHeight="251659264" behindDoc="0" locked="0" layoutInCell="1" allowOverlap="1" wp14:anchorId="3CC651BF" wp14:editId="0EEA4DB6">
              <wp:simplePos x="635" y="635"/>
              <wp:positionH relativeFrom="page">
                <wp:align>left</wp:align>
              </wp:positionH>
              <wp:positionV relativeFrom="page">
                <wp:align>bottom</wp:align>
              </wp:positionV>
              <wp:extent cx="5760085" cy="478790"/>
              <wp:effectExtent l="0" t="0" r="12065" b="0"/>
              <wp:wrapNone/>
              <wp:docPr id="148110019" name="Caixa de Texto 2"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60085" cy="478790"/>
                      </a:xfrm>
                      <a:prstGeom prst="rect">
                        <a:avLst/>
                      </a:prstGeom>
                      <a:noFill/>
                      <a:ln>
                        <a:noFill/>
                      </a:ln>
                    </wps:spPr>
                    <wps:txbx>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C651BF" id="_x0000_t202" coordsize="21600,21600" o:spt="202" path="m,l,21600r21600,l21600,xe">
              <v:stroke joinstyle="miter"/>
              <v:path gradientshapeok="t" o:connecttype="rect"/>
            </v:shapetype>
            <v:shape id="Caixa de Texto 2" o:spid="_x0000_s1026" type="#_x0000_t202" alt="Este documento foi classificado como informação confidencial e é destinado exclusivamente aos destinatários específicos. Não compartilhe esta informação sem autorização." style="position:absolute;margin-left:0;margin-top:0;width:453.55pt;height:37.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" filled="f" stroked="f">
              <v:textbox style="mso-fit-shape-to-text:t" inset="20pt,0,0,15pt">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C6E7"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Pr>
        <w:rFonts w:ascii="Cambria" w:hAnsi="Cambria" w:cs="Calibri Light"/>
        <w:color w:val="000000"/>
        <w:kern w:val="2"/>
        <w:sz w:val="32"/>
        <w:szCs w:val="32"/>
      </w:rPr>
      <w:t>1</w:t>
    </w:r>
    <w:r w:rsidRPr="00024398">
      <w:rPr>
        <w:rFonts w:ascii="Cambria" w:eastAsia="Calibri" w:hAnsi="Cambria" w:cs="Calibri Light"/>
        <w:color w:val="000000"/>
        <w:kern w:val="2"/>
        <w:sz w:val="32"/>
        <w:szCs w:val="32"/>
      </w:rPr>
      <w:fldChar w:fldCharType="end"/>
    </w:r>
  </w:p>
  <w:p w14:paraId="5F0AB33F" w14:textId="2EC26B96" w:rsidR="00024398"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87936" behindDoc="0" locked="0" layoutInCell="1" allowOverlap="1" wp14:anchorId="06835D1D" wp14:editId="7897DBFA">
              <wp:simplePos x="0" y="0"/>
              <wp:positionH relativeFrom="column">
                <wp:posOffset>-2540</wp:posOffset>
              </wp:positionH>
              <wp:positionV relativeFrom="paragraph">
                <wp:posOffset>-35555</wp:posOffset>
              </wp:positionV>
              <wp:extent cx="5776595" cy="0"/>
              <wp:effectExtent l="0" t="0" r="14605" b="12700"/>
              <wp:wrapNone/>
              <wp:docPr id="89606598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8FA2F1" id="Conector Reto 14" o:spid="_x0000_s1026" style="position:absolute;z-index:2516879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w:t>
    </w:r>
    <w:r w:rsidRPr="00024398">
      <w:rPr>
        <w:rFonts w:ascii="Cambria" w:eastAsia="Calibri" w:hAnsi="Cambria" w:cs="Arial"/>
        <w:noProof/>
        <w:kern w:val="2"/>
        <w:sz w:val="22"/>
        <w:szCs w:val="22"/>
      </w:rPr>
      <mc:AlternateContent>
        <mc:Choice Requires="wps">
          <w:drawing>
            <wp:anchor distT="0" distB="0" distL="0" distR="0" simplePos="0" relativeHeight="251686912" behindDoc="0" locked="0" layoutInCell="0" allowOverlap="1" wp14:anchorId="74DEF9BB" wp14:editId="291F7B23">
              <wp:simplePos x="0" y="0"/>
              <wp:positionH relativeFrom="margin">
                <wp:align>right</wp:align>
              </wp:positionH>
              <wp:positionV relativeFrom="paragraph">
                <wp:posOffset>635</wp:posOffset>
              </wp:positionV>
              <wp:extent cx="14605" cy="186055"/>
              <wp:effectExtent l="0" t="0" r="0" b="0"/>
              <wp:wrapNone/>
              <wp:docPr id="118816016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78E493"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74DEF9BB" id="_x0000_t202" coordsize="21600,21600" o:spt="202" path="m,l,21600r21600,l21600,xe">
              <v:stroke joinstyle="miter"/>
              <v:path gradientshapeok="t" o:connecttype="rect"/>
            </v:shapetype>
            <v:shape id="Quadro1" o:spid="_x0000_s1027" type="#_x0000_t202" style="position:absolute;left:0;text-align:left;margin-left:-50.05pt;margin-top:.05pt;width:1.15pt;height:14.65pt;z-index:2516869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CD&#13;&#10;/Q9DowEAAEoDAAAOAAAAAAAAAAAAAAAAAC4CAABkcnMvZTJvRG9jLnhtbFBLAQItABQABgAIAAAA&#13;&#10;IQD5SiO13AAAAAcBAAAPAAAAAAAAAAAAAAAAAP0DAABkcnMvZG93bnJldi54bWxQSwUGAAAAAAQA&#13;&#10;BADzAAAABgUAAAAA&#13;&#10;" o:allowincell="f" stroked="f">
              <v:fill opacity="0"/>
              <v:textbox style="mso-fit-shape-to-text:t" inset="0,0,0,0">
                <w:txbxContent>
                  <w:p w14:paraId="7878E493"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5888" behindDoc="0" locked="0" layoutInCell="0" allowOverlap="1" wp14:anchorId="37C3BF76" wp14:editId="6B94F239">
              <wp:simplePos x="0" y="0"/>
              <wp:positionH relativeFrom="margin">
                <wp:align>right</wp:align>
              </wp:positionH>
              <wp:positionV relativeFrom="paragraph">
                <wp:posOffset>635</wp:posOffset>
              </wp:positionV>
              <wp:extent cx="14605" cy="186055"/>
              <wp:effectExtent l="0" t="0" r="0" b="0"/>
              <wp:wrapNone/>
              <wp:docPr id="9094333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C15874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7C3BF76" id="_x0000_s1028" type="#_x0000_t202" style="position:absolute;left:0;text-align:left;margin-left:-50.05pt;margin-top:.05pt;width:1.15pt;height:14.65pt;z-index:2516858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NNOSvG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1C15874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4864" behindDoc="0" locked="0" layoutInCell="0" allowOverlap="1" wp14:anchorId="4C1D652D" wp14:editId="1EBF3B8D">
              <wp:simplePos x="0" y="0"/>
              <wp:positionH relativeFrom="margin">
                <wp:align>right</wp:align>
              </wp:positionH>
              <wp:positionV relativeFrom="paragraph">
                <wp:posOffset>635</wp:posOffset>
              </wp:positionV>
              <wp:extent cx="14605" cy="186055"/>
              <wp:effectExtent l="0" t="0" r="0" b="0"/>
              <wp:wrapNone/>
              <wp:docPr id="147028103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09AADA5E"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4C1D652D" id="Caixa de Texto 1" o:spid="_x0000_s1029" type="#_x0000_t202" style="position:absolute;left:0;text-align:left;margin-left:-50.05pt;margin-top:.05pt;width:1.15pt;height:14.65pt;z-index:2516848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3L1ghsgEAAGMDAAAOAAAAAAAAAAAAAAAAAC4CAABkcnMvZTJvRG9jLnht&#13;&#10;bFBLAQItABQABgAIAAAAIQD5SiO13AAAAAcBAAAPAAAAAAAAAAAAAAAAAAwEAABkcnMvZG93bnJl&#13;&#10;di54bWxQSwUGAAAAAAQABADzAAAAFQUAAAAA&#13;&#10;" o:allowincell="f" stroked="f">
              <v:fill opacity="0"/>
              <v:textbox style="mso-fit-shape-to-text:t" inset="0,0,0,0">
                <w:txbxContent>
                  <w:p w14:paraId="09AADA5E"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3840" behindDoc="0" locked="0" layoutInCell="0" allowOverlap="1" wp14:anchorId="295C5FA6" wp14:editId="57CE2B76">
              <wp:simplePos x="0" y="0"/>
              <wp:positionH relativeFrom="margin">
                <wp:align>right</wp:align>
              </wp:positionH>
              <wp:positionV relativeFrom="paragraph">
                <wp:posOffset>635</wp:posOffset>
              </wp:positionV>
              <wp:extent cx="14605" cy="186055"/>
              <wp:effectExtent l="0" t="0" r="0" b="0"/>
              <wp:wrapNone/>
              <wp:docPr id="697719085"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FD54EE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95C5FA6" id="_x0000_s1030" type="#_x0000_t202" style="position:absolute;left:0;text-align:left;margin-left:-50.05pt;margin-top:.05pt;width:1.15pt;height:14.65pt;z-index:2516838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DIusE6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4FD54EE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2816" behindDoc="0" locked="0" layoutInCell="0" allowOverlap="1" wp14:anchorId="1B6624A3" wp14:editId="389841BB">
              <wp:simplePos x="0" y="0"/>
              <wp:positionH relativeFrom="margin">
                <wp:align>right</wp:align>
              </wp:positionH>
              <wp:positionV relativeFrom="paragraph">
                <wp:posOffset>635</wp:posOffset>
              </wp:positionV>
              <wp:extent cx="14605" cy="186055"/>
              <wp:effectExtent l="0" t="0" r="0" b="0"/>
              <wp:wrapNone/>
              <wp:docPr id="181129173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075E8B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1B6624A3" id="_x0000_s1031" type="#_x0000_t202" style="position:absolute;left:0;text-align:left;margin-left:-50.05pt;margin-top:.05pt;width:1.15pt;height:14.65pt;z-index:2516828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4wgpAEAAEo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dLyyLJEehiMp4L4F&#13;&#10;0rXsyMlIJ6M/GTKoEWh7Fv4YP79m2NnawwWJCBSHBlapvC1X2Yj3fs26fALb3wA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Ar+MIKQBAABKAwAADgAAAAAAAAAAAAAAAAAuAgAAZHJzL2Uyb0RvYy54bWxQSwECLQAUAAYACAAA&#13;&#10;ACEA+UojtdwAAAAHAQAADwAAAAAAAAAAAAAAAAD+AwAAZHJzL2Rvd25yZXYueG1sUEsFBgAAAAAE&#13;&#10;AAQA8wAAAAcFAAAAAA==&#13;&#10;" o:allowincell="f" stroked="f">
              <v:fill opacity="0"/>
              <v:textbox style="mso-fit-shape-to-text:t" inset="0,0,0,0">
                <w:txbxContent>
                  <w:p w14:paraId="5075E8B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1792" behindDoc="0" locked="0" layoutInCell="0" allowOverlap="1" wp14:anchorId="441E6578" wp14:editId="5D2791D2">
              <wp:simplePos x="0" y="0"/>
              <wp:positionH relativeFrom="margin">
                <wp:align>right</wp:align>
              </wp:positionH>
              <wp:positionV relativeFrom="paragraph">
                <wp:posOffset>635</wp:posOffset>
              </wp:positionV>
              <wp:extent cx="14605" cy="186055"/>
              <wp:effectExtent l="0" t="0" r="0" b="0"/>
              <wp:wrapNone/>
              <wp:docPr id="318012680"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8E1B13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441E6578" id="_x0000_s1032" type="#_x0000_t202" style="position:absolute;left:0;text-align:left;margin-left:-50.05pt;margin-top:.05pt;width:1.15pt;height:14.65pt;z-index:2516817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MmSpQEAAEo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a/hmodpCdyIF3BdP&#13;&#10;uuYdWYy4GO1iSK96oO2Z+8fw+S3B3hYOGXtGogayQwMrrbwvV96Ij37JunwCu9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FIMyZK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38E1B13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0768" behindDoc="0" locked="0" layoutInCell="0" allowOverlap="1" wp14:anchorId="52120E56" wp14:editId="19BCEC69">
              <wp:simplePos x="0" y="0"/>
              <wp:positionH relativeFrom="margin">
                <wp:align>right</wp:align>
              </wp:positionH>
              <wp:positionV relativeFrom="paragraph">
                <wp:posOffset>635</wp:posOffset>
              </wp:positionV>
              <wp:extent cx="14605" cy="186055"/>
              <wp:effectExtent l="0" t="0" r="0" b="0"/>
              <wp:wrapNone/>
              <wp:docPr id="348544456"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08918AD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2120E56" id="_x0000_s1033" type="#_x0000_t202" style="position:absolute;left:0;text-align:left;margin-left:-50.05pt;margin-top:.05pt;width:1.15pt;height:14.65pt;z-index:2516807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fX8pQEAAEo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ruFfFqotdEdSwP3w&#13;&#10;pGvekcWIi9EuhvSqB9qeuX8M988JdrZwyNgzEjWQHRpYaeVlufJGvPZL1vkT2P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GKd9fy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08918AD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9744" behindDoc="0" locked="0" layoutInCell="0" allowOverlap="1" wp14:anchorId="7FC63296" wp14:editId="718F9867">
              <wp:simplePos x="0" y="0"/>
              <wp:positionH relativeFrom="margin">
                <wp:align>right</wp:align>
              </wp:positionH>
              <wp:positionV relativeFrom="paragraph">
                <wp:posOffset>635</wp:posOffset>
              </wp:positionV>
              <wp:extent cx="14605" cy="186055"/>
              <wp:effectExtent l="0" t="0" r="0" b="0"/>
              <wp:wrapNone/>
              <wp:docPr id="108703787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5EB75A"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FC63296" id="_x0000_s1034" type="#_x0000_t202" style="position:absolute;left:0;text-align:left;margin-left:-50.05pt;margin-top:.05pt;width:1.15pt;height:14.65pt;z-index:2516797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LHpNeq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785EB75A"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31726</w:t>
    </w:r>
    <w:r w:rsidRPr="00024398">
      <w:rPr>
        <w:rFonts w:ascii="Cambria" w:eastAsia="Calibri" w:hAnsi="Cambria" w:cs="Arial"/>
        <w:noProof/>
        <w:sz w:val="22"/>
        <w:szCs w:val="22"/>
      </w:rPr>
      <mc:AlternateContent>
        <mc:Choice Requires="wps">
          <w:drawing>
            <wp:anchor distT="0" distB="0" distL="0" distR="0" simplePos="0" relativeHeight="251678720" behindDoc="0" locked="0" layoutInCell="1" allowOverlap="1" wp14:anchorId="2CD6A79F" wp14:editId="41E95082">
              <wp:simplePos x="635" y="635"/>
              <wp:positionH relativeFrom="page">
                <wp:align>left</wp:align>
              </wp:positionH>
              <wp:positionV relativeFrom="page">
                <wp:align>bottom</wp:align>
              </wp:positionV>
              <wp:extent cx="5396230" cy="438785"/>
              <wp:effectExtent l="0" t="0" r="13970" b="0"/>
              <wp:wrapNone/>
              <wp:docPr id="1906352632"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5A58C82E"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2CD6A79F" id="_x0000_s1035"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C4&#13;&#10;mZvqFAIAACIEAAAOAAAAAAAAAAAAAAAAAC4CAABkcnMvZTJvRG9jLnhtbFBLAQItABQABgAIAAAA&#13;&#10;IQC7Q8Hz3QAAAAkBAAAPAAAAAAAAAAAAAAAAAG4EAABkcnMvZG93bnJldi54bWxQSwUGAAAAAAQA&#13;&#10;BADzAAAAeAUAAAAA&#13;&#10;" filled="f" stroked="f">
              <v:textbox style="mso-fit-shape-to-text:t" inset="20pt,0,0,15pt">
                <w:txbxContent>
                  <w:p w14:paraId="5A58C82E"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93EF"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sidRPr="00024398">
      <w:rPr>
        <w:rFonts w:ascii="Cambria" w:eastAsia="Calibri" w:hAnsi="Cambria" w:cs="Calibri Light"/>
        <w:color w:val="000000"/>
        <w:kern w:val="2"/>
        <w:sz w:val="32"/>
        <w:szCs w:val="32"/>
      </w:rPr>
      <w:t>4</w:t>
    </w:r>
    <w:r w:rsidRPr="00024398">
      <w:rPr>
        <w:rFonts w:ascii="Cambria" w:eastAsia="Calibri" w:hAnsi="Cambria" w:cs="Calibri Light"/>
        <w:color w:val="000000"/>
        <w:kern w:val="2"/>
        <w:sz w:val="32"/>
        <w:szCs w:val="32"/>
      </w:rPr>
      <w:fldChar w:fldCharType="end"/>
    </w:r>
  </w:p>
  <w:p w14:paraId="023D4060" w14:textId="4F34CE91" w:rsidR="00A27A51"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76672" behindDoc="0" locked="0" layoutInCell="1" allowOverlap="1" wp14:anchorId="6D76ED90" wp14:editId="0684AC2C">
              <wp:simplePos x="0" y="0"/>
              <wp:positionH relativeFrom="column">
                <wp:posOffset>-2540</wp:posOffset>
              </wp:positionH>
              <wp:positionV relativeFrom="paragraph">
                <wp:posOffset>-35555</wp:posOffset>
              </wp:positionV>
              <wp:extent cx="5776595" cy="0"/>
              <wp:effectExtent l="0" t="0" r="14605" b="12700"/>
              <wp:wrapNone/>
              <wp:docPr id="671772217"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6A20EE" id="Conector Reto 14" o:spid="_x0000_s1026" style="position:absolute;z-index:2516766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w:t>
    </w:r>
    <w:r w:rsidRPr="00024398">
      <w:rPr>
        <w:rFonts w:ascii="Cambria" w:eastAsia="Calibri" w:hAnsi="Cambria" w:cs="Arial"/>
        <w:noProof/>
        <w:kern w:val="2"/>
        <w:sz w:val="22"/>
        <w:szCs w:val="22"/>
      </w:rPr>
      <mc:AlternateContent>
        <mc:Choice Requires="wps">
          <w:drawing>
            <wp:anchor distT="0" distB="0" distL="0" distR="0" simplePos="0" relativeHeight="251675648" behindDoc="0" locked="0" layoutInCell="0" allowOverlap="1" wp14:anchorId="2ACDB508" wp14:editId="30A6AB5B">
              <wp:simplePos x="0" y="0"/>
              <wp:positionH relativeFrom="margin">
                <wp:align>right</wp:align>
              </wp:positionH>
              <wp:positionV relativeFrom="paragraph">
                <wp:posOffset>635</wp:posOffset>
              </wp:positionV>
              <wp:extent cx="14605" cy="186055"/>
              <wp:effectExtent l="0" t="0" r="0" b="0"/>
              <wp:wrapNone/>
              <wp:docPr id="8707528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97A6B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2ACDB508" id="_x0000_t202" coordsize="21600,21600" o:spt="202" path="m,l,21600r21600,l21600,xe">
              <v:stroke joinstyle="miter"/>
              <v:path gradientshapeok="t" o:connecttype="rect"/>
            </v:shapetype>
            <v:shape id="_x0000_s1036" type="#_x0000_t202" style="position:absolute;left:0;text-align:left;margin-left:-50.05pt;margin-top:.05pt;width:1.15pt;height:14.65pt;z-index:25167564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AW&#13;&#10;0+4dowEAAEsDAAAOAAAAAAAAAAAAAAAAAC4CAABkcnMvZTJvRG9jLnhtbFBLAQItABQABgAIAAAA&#13;&#10;IQD5SiO13AAAAAcBAAAPAAAAAAAAAAAAAAAAAP0DAABkcnMvZG93bnJldi54bWxQSwUGAAAAAAQA&#13;&#10;BADzAAAABgUAAAAA&#13;&#10;" o:allowincell="f" stroked="f">
              <v:fill opacity="0"/>
              <v:textbox style="mso-fit-shape-to-text:t" inset="0,0,0,0">
                <w:txbxContent>
                  <w:p w14:paraId="7397A6B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4624" behindDoc="0" locked="0" layoutInCell="0" allowOverlap="1" wp14:anchorId="0508856C" wp14:editId="32F33F07">
              <wp:simplePos x="0" y="0"/>
              <wp:positionH relativeFrom="margin">
                <wp:align>right</wp:align>
              </wp:positionH>
              <wp:positionV relativeFrom="paragraph">
                <wp:posOffset>635</wp:posOffset>
              </wp:positionV>
              <wp:extent cx="14605" cy="186055"/>
              <wp:effectExtent l="0" t="0" r="0" b="0"/>
              <wp:wrapNone/>
              <wp:docPr id="1562709703"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BE4778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0508856C" id="_x0000_s1037" type="#_x0000_t202" style="position:absolute;left:0;text-align:left;margin-left:-50.05pt;margin-top:.05pt;width:1.15pt;height:14.65pt;z-index:2516746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JkLSc6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1BE4778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3600" behindDoc="0" locked="0" layoutInCell="0" allowOverlap="1" wp14:anchorId="38C5AB43" wp14:editId="1247FA44">
              <wp:simplePos x="0" y="0"/>
              <wp:positionH relativeFrom="margin">
                <wp:align>right</wp:align>
              </wp:positionH>
              <wp:positionV relativeFrom="paragraph">
                <wp:posOffset>635</wp:posOffset>
              </wp:positionV>
              <wp:extent cx="14605" cy="186055"/>
              <wp:effectExtent l="0" t="0" r="0" b="0"/>
              <wp:wrapNone/>
              <wp:docPr id="80998366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26C9576C"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38C5AB43" id="_x0000_s1038" type="#_x0000_t202" style="position:absolute;left:0;text-align:left;margin-left:-50.05pt;margin-top:.05pt;width:1.15pt;height:14.65pt;z-index:2516736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7C/PbsgEAAGQDAAAOAAAAAAAAAAAAAAAAAC4CAABkcnMvZTJvRG9jLnht&#13;&#10;bFBLAQItABQABgAIAAAAIQD5SiO13AAAAAcBAAAPAAAAAAAAAAAAAAAAAAwEAABkcnMvZG93bnJl&#13;&#10;di54bWxQSwUGAAAAAAQABADzAAAAFQUAAAAA&#13;&#10;" o:allowincell="f" stroked="f">
              <v:fill opacity="0"/>
              <v:textbox style="mso-fit-shape-to-text:t" inset="0,0,0,0">
                <w:txbxContent>
                  <w:p w14:paraId="26C9576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2576" behindDoc="0" locked="0" layoutInCell="0" allowOverlap="1" wp14:anchorId="6E58BCC5" wp14:editId="5D4EC900">
              <wp:simplePos x="0" y="0"/>
              <wp:positionH relativeFrom="margin">
                <wp:align>right</wp:align>
              </wp:positionH>
              <wp:positionV relativeFrom="paragraph">
                <wp:posOffset>635</wp:posOffset>
              </wp:positionV>
              <wp:extent cx="14605" cy="186055"/>
              <wp:effectExtent l="0" t="0" r="0" b="0"/>
              <wp:wrapNone/>
              <wp:docPr id="205890151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52B8F9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6E58BCC5" id="_x0000_s1039" type="#_x0000_t202" style="position:absolute;left:0;text-align:left;margin-left:-50.05pt;margin-top:.05pt;width:1.15pt;height:14.65pt;z-index:2516725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EZgq6+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152B8F9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1552" behindDoc="0" locked="0" layoutInCell="0" allowOverlap="1" wp14:anchorId="3281F35F" wp14:editId="3E624C58">
              <wp:simplePos x="0" y="0"/>
              <wp:positionH relativeFrom="margin">
                <wp:align>right</wp:align>
              </wp:positionH>
              <wp:positionV relativeFrom="paragraph">
                <wp:posOffset>635</wp:posOffset>
              </wp:positionV>
              <wp:extent cx="14605" cy="186055"/>
              <wp:effectExtent l="0" t="0" r="0" b="0"/>
              <wp:wrapNone/>
              <wp:docPr id="2294895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33181E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281F35F" id="_x0000_s1040" type="#_x0000_t202" style="position:absolute;left:0;text-align:left;margin-left:-50.05pt;margin-top:.05pt;width:1.15pt;height:14.65pt;z-index:2516715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l5Ftfq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433181E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0528" behindDoc="0" locked="0" layoutInCell="0" allowOverlap="1" wp14:anchorId="5C1794B9" wp14:editId="0FB1655C">
              <wp:simplePos x="0" y="0"/>
              <wp:positionH relativeFrom="margin">
                <wp:align>right</wp:align>
              </wp:positionH>
              <wp:positionV relativeFrom="paragraph">
                <wp:posOffset>635</wp:posOffset>
              </wp:positionV>
              <wp:extent cx="14605" cy="186055"/>
              <wp:effectExtent l="0" t="0" r="0" b="0"/>
              <wp:wrapNone/>
              <wp:docPr id="1315465107"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D507AA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C1794B9" id="_x0000_s1041" type="#_x0000_t202" style="position:absolute;left:0;text-align:left;margin-left:-50.05pt;margin-top:.05pt;width:1.15pt;height:14.65pt;z-index:2516705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FEQpAEAAEs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ENVKs4R6GI4kgfsW&#13;&#10;SNiyJCcjnYz+ZMigRqD1WRrA+Pk1w87WJi5IxKA4NLHK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pwBREK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5D507AA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9504" behindDoc="0" locked="0" layoutInCell="0" allowOverlap="1" wp14:anchorId="238A4055" wp14:editId="09D2C26A">
              <wp:simplePos x="0" y="0"/>
              <wp:positionH relativeFrom="margin">
                <wp:align>right</wp:align>
              </wp:positionH>
              <wp:positionV relativeFrom="paragraph">
                <wp:posOffset>635</wp:posOffset>
              </wp:positionV>
              <wp:extent cx="14605" cy="186055"/>
              <wp:effectExtent l="0" t="0" r="0" b="0"/>
              <wp:wrapNone/>
              <wp:docPr id="122956462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7DC09D"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38A4055" id="_x0000_s1042" type="#_x0000_t202" style="position:absolute;left:0;text-align:left;margin-left:-50.05pt;margin-top:.05pt;width:1.15pt;height:14.65pt;z-index:2516695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xSipQEAAEs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o1Y3C9cWuhNJ4L54&#13;&#10;EjYvyWLExWgXQ3rVA63PTADD57cEe1tIZPAZiTrIDk2s9PK+XXklPvol6/IN7H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PezFKK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737DC09D"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8480" behindDoc="0" locked="0" layoutInCell="0" allowOverlap="1" wp14:anchorId="7579258F" wp14:editId="43A2E2F9">
              <wp:simplePos x="0" y="0"/>
              <wp:positionH relativeFrom="margin">
                <wp:align>right</wp:align>
              </wp:positionH>
              <wp:positionV relativeFrom="paragraph">
                <wp:posOffset>635</wp:posOffset>
              </wp:positionV>
              <wp:extent cx="14605" cy="186055"/>
              <wp:effectExtent l="0" t="0" r="0" b="0"/>
              <wp:wrapNone/>
              <wp:docPr id="1543674604"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A533B79"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579258F" id="_x0000_s1043" type="#_x0000_t202" style="position:absolute;left:0;text-align:left;margin-left:-50.05pt;margin-top:.05pt;width:1.15pt;height:14.65pt;z-index:2516684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ijMpQEAAEs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jlr9snBtoTuSBO6H&#13;&#10;J2HzkixGXIx2MaRXPdD6zAQw3D8n2N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MciKMy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3A533B79"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31726</w:t>
    </w:r>
    <w:r w:rsidRPr="00024398">
      <w:rPr>
        <w:rFonts w:ascii="Cambria" w:eastAsia="Calibri" w:hAnsi="Cambria" w:cs="Arial"/>
        <w:noProof/>
        <w:sz w:val="22"/>
        <w:szCs w:val="22"/>
      </w:rPr>
      <mc:AlternateContent>
        <mc:Choice Requires="wps">
          <w:drawing>
            <wp:anchor distT="0" distB="0" distL="0" distR="0" simplePos="0" relativeHeight="251667456" behindDoc="0" locked="0" layoutInCell="1" allowOverlap="1" wp14:anchorId="5AEA463E" wp14:editId="6895A5EB">
              <wp:simplePos x="635" y="635"/>
              <wp:positionH relativeFrom="page">
                <wp:align>left</wp:align>
              </wp:positionH>
              <wp:positionV relativeFrom="page">
                <wp:align>bottom</wp:align>
              </wp:positionV>
              <wp:extent cx="5396230" cy="438785"/>
              <wp:effectExtent l="0" t="0" r="13970" b="0"/>
              <wp:wrapNone/>
              <wp:docPr id="812457803"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261D7523"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AEA463E" id="_x0000_s1044"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AQ&#13;&#10;VibeFAIAACMEAAAOAAAAAAAAAAAAAAAAAC4CAABkcnMvZTJvRG9jLnhtbFBLAQItABQABgAIAAAA&#13;&#10;IQC7Q8Hz3QAAAAkBAAAPAAAAAAAAAAAAAAAAAG4EAABkcnMvZG93bnJldi54bWxQSwUGAAAAAAQA&#13;&#10;BADzAAAAeAUAAAAA&#13;&#10;" filled="f" stroked="f">
              <v:textbox style="mso-fit-shape-to-text:t" inset="20pt,0,0,15pt">
                <w:txbxContent>
                  <w:p w14:paraId="261D7523"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3729" w14:textId="77777777" w:rsidR="00760FAB" w:rsidRDefault="00760FAB" w:rsidP="00A27A51">
      <w:pPr>
        <w:spacing w:after="0" w:line="240" w:lineRule="auto"/>
      </w:pPr>
      <w:r>
        <w:separator/>
      </w:r>
    </w:p>
  </w:footnote>
  <w:footnote w:type="continuationSeparator" w:id="0">
    <w:p w14:paraId="0A0CB232" w14:textId="77777777" w:rsidR="00760FAB" w:rsidRDefault="00760FAB" w:rsidP="00A27A51">
      <w:pPr>
        <w:spacing w:after="0" w:line="240" w:lineRule="auto"/>
      </w:pPr>
      <w:r>
        <w:continuationSeparator/>
      </w:r>
    </w:p>
  </w:footnote>
  <w:footnote w:id="1">
    <w:p w14:paraId="08DA9035" w14:textId="3D5A7586"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Resenha de aproveitamento da disciplina TC (Trabalho de Curso), do curso Bacharelado em Direito, do Centro Universitário Processus – UniProcessus, sob a orientação dos professores Jonas Rodrigo Gonçalves e Danilo da Costa. A revisão linguística foi realizada por Roberta dos Anjos Matos Resende.</w:t>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xml:space="preserve"/>
      </w:r>
      <w:proofErr w:type="spellStart"/>
      <w:r w:rsidRPr="00024398">
        <w:rPr>
          <w:rFonts w:ascii="Cambria" w:hAnsi="Cambria" w:cs="Arial"/>
          <w:i/>
          <w:iCs/>
          <w:sz w:val="16"/>
          <w:szCs w:val="16"/>
        </w:rPr>
        <w:t/>
      </w:r>
      <w:proofErr w:type="spellEnd"/>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color w:val="FF0000"/>
          <w:sz w:val="16"/>
          <w:szCs w:val="16"/>
        </w:rPr>
        <w:t/>
      </w:r>
    </w:p>
  </w:footnote>
  <w:footnote w:id="2">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Graduando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 w:id="3">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Graduanda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 w:id="4">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Graduanda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 w:id="5">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Graduando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D9AF" w14:textId="77777777" w:rsidR="00024398" w:rsidRPr="000B4517" w:rsidRDefault="00024398" w:rsidP="00024398">
    <w:pPr>
      <w:jc w:val="right"/>
      <w:rPr>
        <w:rFonts w:ascii="Cambria" w:hAnsi="Cambria"/>
        <w:i/>
        <w:iCs/>
        <w:sz w:val="20"/>
        <w:szCs w:val="20"/>
      </w:rPr>
    </w:pPr>
    <w:r w:rsidRPr="000B4517">
      <w:rPr>
        <w:rFonts w:ascii="Cambria" w:hAnsi="Cambria"/>
        <w:b/>
        <w:bCs/>
        <w:i/>
        <w:iCs/>
        <w:color w:val="002060"/>
        <w:sz w:val="16"/>
        <w:szCs w:val="16"/>
      </w:rPr>
      <w:tab/>
    </w:r>
    <w:r w:rsidRPr="000B4517">
      <w:rPr>
        <w:rFonts w:ascii="Cambria" w:hAnsi="Cambria"/>
        <w:b/>
        <w:bCs/>
        <w:i/>
        <w:iCs/>
        <w:color w:val="002060"/>
        <w:sz w:val="16"/>
        <w:szCs w:val="16"/>
      </w:rPr>
      <w:tab/>
    </w:r>
    <w:r w:rsidRPr="00294FC1">
      <w:rPr>
        <w:rFonts w:ascii="Cambria" w:hAnsi="Cambria"/>
        <w:b/>
        <w:bCs/>
        <w:i/>
        <w:iCs/>
        <w:color w:val="002060"/>
        <w:sz w:val="16"/>
        <w:szCs w:val="16"/>
      </w:rPr>
      <w:t xml:space="preserve"> Revista Processus Multidisciplinar,</w:t>
    </w:r>
    <w:r w:rsidRPr="00294FC1">
      <w:rPr>
        <w:rFonts w:ascii="Cambria" w:hAnsi="Cambria"/>
        <w:i/>
        <w:iCs/>
        <w:color w:val="002060"/>
        <w:sz w:val="16"/>
        <w:szCs w:val="16"/>
      </w:rPr>
      <w:t xml:space="preserve"> Ano 7, Vol. </w:t>
    </w:r>
    <w:r w:rsidRPr="000B4517">
      <w:rPr>
        <w:rFonts w:ascii="Cambria" w:hAnsi="Cambria"/>
        <w:i/>
        <w:iCs/>
        <w:color w:val="002060"/>
        <w:sz w:val="16"/>
        <w:szCs w:val="16"/>
      </w:rPr>
      <w:t>VII, n.13, jan.-jun., 2026</w:t>
    </w:r>
  </w:p>
  <w:p w14:paraId="5B39AE42" w14:textId="77777777" w:rsidR="00024398" w:rsidRDefault="0002439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CCE1" w14:textId="77777777" w:rsidR="00024398" w:rsidRPr="00024398" w:rsidRDefault="00024398" w:rsidP="00024398">
    <w:pPr>
      <w:widowControl w:val="0"/>
      <w:suppressAutoHyphens/>
      <w:autoSpaceDE w:val="0"/>
      <w:autoSpaceDN w:val="0"/>
      <w:spacing w:after="0" w:line="240" w:lineRule="auto"/>
      <w:rPr>
        <w:rFonts w:ascii="Cambria" w:eastAsia="Arial MT" w:hAnsi="Cambria" w:cs="Arial MT"/>
        <w:kern w:val="2"/>
        <w:sz w:val="21"/>
        <w:szCs w:val="21"/>
        <w:lang w:val="pt-PT" w:eastAsia="pt-BR"/>
      </w:rPr>
    </w:pP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noProof/>
        <w:sz w:val="22"/>
        <w:szCs w:val="22"/>
        <w:lang w:val="pt-PT" w:eastAsia="pt-BR"/>
      </w:rPr>
      <w:drawing>
        <wp:anchor distT="0" distB="0" distL="114300" distR="114300" simplePos="0" relativeHeight="251665408" behindDoc="1" locked="0" layoutInCell="1" allowOverlap="1" wp14:anchorId="5ADB847A" wp14:editId="32761842">
          <wp:simplePos x="0" y="0"/>
          <wp:positionH relativeFrom="column">
            <wp:posOffset>-1087120</wp:posOffset>
          </wp:positionH>
          <wp:positionV relativeFrom="paragraph">
            <wp:posOffset>-32385</wp:posOffset>
          </wp:positionV>
          <wp:extent cx="1633220" cy="1734820"/>
          <wp:effectExtent l="0" t="0" r="0" b="0"/>
          <wp:wrapNone/>
          <wp:docPr id="1409807476" name="Imagem 1055765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5576536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22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b/>
        <w:bCs/>
        <w:color w:val="002060"/>
        <w:kern w:val="2"/>
        <w:sz w:val="18"/>
        <w:szCs w:val="18"/>
        <w:lang w:val="pt-PT" w:eastAsia="pt-BR"/>
      </w:rPr>
      <w:t xml:space="preserve"> Revista </w:t>
    </w:r>
    <w:proofErr w:type="spellStart"/>
    <w:r w:rsidRPr="00024398">
      <w:rPr>
        <w:rFonts w:ascii="Cambria" w:eastAsia="Arial MT" w:hAnsi="Cambria" w:cs="Arial MT"/>
        <w:b/>
        <w:bCs/>
        <w:color w:val="002060"/>
        <w:kern w:val="2"/>
        <w:sz w:val="18"/>
        <w:szCs w:val="18"/>
        <w:lang w:val="pt-PT" w:eastAsia="pt-BR"/>
      </w:rPr>
      <w:t>Processus</w:t>
    </w:r>
    <w:proofErr w:type="spellEnd"/>
    <w:r w:rsidRPr="00024398">
      <w:rPr>
        <w:rFonts w:ascii="Cambria" w:eastAsia="Arial MT" w:hAnsi="Cambria" w:cs="Arial MT"/>
        <w:b/>
        <w:bCs/>
        <w:color w:val="002060"/>
        <w:kern w:val="2"/>
        <w:sz w:val="18"/>
        <w:szCs w:val="18"/>
        <w:lang w:val="pt-PT" w:eastAsia="pt-BR"/>
      </w:rPr>
      <w:t xml:space="preserve"> Multidisciplinar,</w:t>
    </w:r>
    <w:r w:rsidRPr="00024398">
      <w:rPr>
        <w:rFonts w:ascii="Cambria" w:eastAsia="Arial MT" w:hAnsi="Cambria" w:cs="Arial MT"/>
        <w:color w:val="002060"/>
        <w:kern w:val="2"/>
        <w:sz w:val="18"/>
        <w:szCs w:val="18"/>
        <w:lang w:val="pt-PT" w:eastAsia="pt-BR"/>
      </w:rPr>
      <w:t xml:space="preserve"> Ano 7, Vol. VII, n.13, jan.-jun., 2026</w:t>
    </w:r>
  </w:p>
  <w:p w14:paraId="246DBF6A" w14:textId="77777777" w:rsidR="00024398" w:rsidRPr="00024398" w:rsidRDefault="00024398" w:rsidP="00024398">
    <w:pPr>
      <w:widowControl w:val="0"/>
      <w:tabs>
        <w:tab w:val="center" w:pos="4252"/>
        <w:tab w:val="right" w:pos="8504"/>
      </w:tabs>
      <w:suppressAutoHyphens/>
      <w:autoSpaceDE w:val="0"/>
      <w:autoSpaceDN w:val="0"/>
      <w:spacing w:after="0" w:line="240" w:lineRule="auto"/>
      <w:rPr>
        <w:rFonts w:ascii="Cambria" w:eastAsia="Arial MT" w:hAnsi="Cambria" w:cs="Arial MT"/>
        <w:kern w:val="2"/>
        <w:sz w:val="22"/>
        <w:szCs w:val="22"/>
        <w:lang w:val="pt-PT" w:eastAsia="pt-BR"/>
      </w:rPr>
    </w:pPr>
    <w:r w:rsidRPr="00024398">
      <w:rPr>
        <w:rFonts w:ascii="Cambria" w:eastAsia="Arial MT" w:hAnsi="Cambria" w:cs="Arial MT"/>
        <w:noProof/>
        <w:sz w:val="22"/>
        <w:szCs w:val="22"/>
        <w:lang w:val="pt-PT" w:eastAsia="pt-BR"/>
      </w:rPr>
      <w:drawing>
        <wp:anchor distT="0" distB="0" distL="114300" distR="114300" simplePos="0" relativeHeight="251664384" behindDoc="1" locked="0" layoutInCell="1" allowOverlap="1" wp14:anchorId="778D70F1" wp14:editId="0832CD02">
          <wp:simplePos x="0" y="0"/>
          <wp:positionH relativeFrom="column">
            <wp:posOffset>4863579</wp:posOffset>
          </wp:positionH>
          <wp:positionV relativeFrom="paragraph">
            <wp:posOffset>106813</wp:posOffset>
          </wp:positionV>
          <wp:extent cx="933450" cy="1322070"/>
          <wp:effectExtent l="0" t="0" r="0" b="0"/>
          <wp:wrapNone/>
          <wp:docPr id="111504763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32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noProof/>
        <w:sz w:val="22"/>
        <w:szCs w:val="22"/>
        <w:lang w:val="pt-PT" w:eastAsia="pt-BR"/>
      </w:rPr>
      <mc:AlternateContent>
        <mc:Choice Requires="wps">
          <w:drawing>
            <wp:anchor distT="4294967294" distB="4294967294" distL="114300" distR="114300" simplePos="0" relativeHeight="251662336" behindDoc="1" locked="0" layoutInCell="1" allowOverlap="1" wp14:anchorId="1FEF7828" wp14:editId="40E15360">
              <wp:simplePos x="0" y="0"/>
              <wp:positionH relativeFrom="column">
                <wp:posOffset>-1087120</wp:posOffset>
              </wp:positionH>
              <wp:positionV relativeFrom="paragraph">
                <wp:posOffset>146049</wp:posOffset>
              </wp:positionV>
              <wp:extent cx="5803900" cy="0"/>
              <wp:effectExtent l="0" t="0" r="0" b="0"/>
              <wp:wrapNone/>
              <wp:docPr id="878859050" name="Conector Re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9C00B" id="Conector Reto 36" o:spid="_x0000_s1026" style="position:absolute;flip:y;z-index:-2516541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85.6pt,11.5pt" to="371.4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" strokecolor="windowText" strokeweight="1pt">
              <v:stroke joinstyle="miter"/>
              <o:lock v:ext="edit" shapetype="f"/>
            </v:line>
          </w:pict>
        </mc:Fallback>
      </mc:AlternateContent>
    </w:r>
  </w:p>
  <w:p w14:paraId="2154F9BC"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6"/>
        <w:szCs w:val="16"/>
        <w:lang w:val="pt-PT" w:eastAsia="pt-BR"/>
      </w:rPr>
    </w:pPr>
    <w:r w:rsidRPr="00024398">
      <w:rPr>
        <w:rFonts w:ascii="Cambria" w:eastAsia="Arial MT" w:hAnsi="Cambria" w:cs="Arial MT"/>
        <w:noProof/>
        <w:sz w:val="22"/>
        <w:szCs w:val="22"/>
        <w:lang w:val="pt-PT" w:eastAsia="pt-BR"/>
      </w:rPr>
      <mc:AlternateContent>
        <mc:Choice Requires="wps">
          <w:drawing>
            <wp:anchor distT="0" distB="0" distL="114300" distR="114300" simplePos="0" relativeHeight="251663360" behindDoc="1" locked="0" layoutInCell="1" allowOverlap="1" wp14:anchorId="1F48503C" wp14:editId="343AD6C7">
              <wp:simplePos x="0" y="0"/>
              <wp:positionH relativeFrom="column">
                <wp:posOffset>690245</wp:posOffset>
              </wp:positionH>
              <wp:positionV relativeFrom="paragraph">
                <wp:posOffset>61990</wp:posOffset>
              </wp:positionV>
              <wp:extent cx="4023360" cy="1192530"/>
              <wp:effectExtent l="12700" t="12700" r="15240" b="13970"/>
              <wp:wrapNone/>
              <wp:docPr id="1500002402" name="Retâ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360" cy="1192530"/>
                      </a:xfrm>
                      <a:prstGeom prst="rect">
                        <a:avLst/>
                      </a:prstGeom>
                      <a:solidFill>
                        <a:srgbClr val="E7E6E6">
                          <a:lumMod val="90000"/>
                        </a:srgbClr>
                      </a:solidFill>
                      <a:ln w="19050" cap="flat" cmpd="sng" algn="ctr">
                        <a:solidFill>
                          <a:srgbClr val="E7E6E6">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2A405" id="Retângulo 35" o:spid="_x0000_s1026" style="position:absolute;margin-left:54.35pt;margin-top:4.9pt;width:316.8pt;height:9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" fillcolor="#d0cece" strokecolor="#d0cece" strokeweight="1.5pt">
              <v:path arrowok="t"/>
            </v:rect>
          </w:pict>
        </mc:Fallback>
      </mc:AlternateContent>
    </w:r>
  </w:p>
  <w:p w14:paraId="53FD6BED"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p>
  <w:p w14:paraId="3C2239A4"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r w:rsidRPr="00024398">
      <w:rPr>
        <w:rFonts w:ascii="Cambria" w:eastAsia="Arial MT" w:hAnsi="Cambria" w:cs="Arial MT"/>
        <w:kern w:val="2"/>
        <w:sz w:val="34"/>
        <w:szCs w:val="34"/>
        <w:lang w:val="pt-PT" w:eastAsia="pt-BR"/>
      </w:rPr>
      <w:t xml:space="preserve">Revista </w:t>
    </w:r>
    <w:proofErr w:type="spellStart"/>
    <w:r w:rsidRPr="00024398">
      <w:rPr>
        <w:rFonts w:ascii="Cambria" w:eastAsia="Arial MT" w:hAnsi="Cambria" w:cs="Arial MT"/>
        <w:kern w:val="2"/>
        <w:sz w:val="34"/>
        <w:szCs w:val="34"/>
        <w:lang w:val="pt-PT" w:eastAsia="pt-BR"/>
      </w:rPr>
      <w:t>Processus</w:t>
    </w:r>
    <w:proofErr w:type="spellEnd"/>
    <w:r w:rsidRPr="00024398">
      <w:rPr>
        <w:rFonts w:ascii="Cambria" w:eastAsia="Arial MT" w:hAnsi="Cambria" w:cs="Arial MT"/>
        <w:kern w:val="2"/>
        <w:sz w:val="34"/>
        <w:szCs w:val="34"/>
        <w:lang w:val="pt-PT" w:eastAsia="pt-BR"/>
      </w:rPr>
      <w:t xml:space="preserve"> Multidisciplinar</w:t>
    </w:r>
  </w:p>
  <w:p w14:paraId="080A1A8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p>
  <w:p w14:paraId="06A9622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r w:rsidRPr="00024398">
      <w:rPr>
        <w:rFonts w:ascii="Cambria" w:eastAsia="Arial MT" w:hAnsi="Cambria" w:cs="Arial MT"/>
        <w:kern w:val="2"/>
        <w:sz w:val="16"/>
        <w:szCs w:val="16"/>
        <w:lang w:val="pt-PT" w:eastAsia="pt-BR"/>
      </w:rPr>
      <w:t xml:space="preserve">                </w:t>
    </w:r>
  </w:p>
  <w:p w14:paraId="2B26235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560"/>
      <w:rPr>
        <w:rFonts w:ascii="Cambria" w:eastAsia="Arial MT" w:hAnsi="Cambria" w:cs="Arial MT"/>
        <w:b/>
        <w:bCs/>
        <w:kern w:val="2"/>
        <w:sz w:val="16"/>
        <w:szCs w:val="16"/>
        <w:lang w:val="pt-PT" w:eastAsia="pt-BR"/>
      </w:rPr>
    </w:pPr>
    <w:r w:rsidRPr="00024398">
      <w:rPr>
        <w:rFonts w:ascii="Cambria" w:eastAsia="Arial MT" w:hAnsi="Cambria" w:cs="Arial MT"/>
        <w:kern w:val="2"/>
        <w:sz w:val="16"/>
        <w:szCs w:val="16"/>
        <w:lang w:val="pt-PT" w:eastAsia="pt-BR"/>
      </w:rPr>
      <w:t xml:space="preserve">      </w:t>
    </w:r>
    <w:proofErr w:type="spellStart"/>
    <w:r w:rsidRPr="00024398">
      <w:rPr>
        <w:rFonts w:ascii="Cambria" w:eastAsia="Arial MT" w:hAnsi="Cambria" w:cs="Arial MT"/>
        <w:b/>
        <w:bCs/>
        <w:kern w:val="2"/>
        <w:sz w:val="16"/>
        <w:szCs w:val="16"/>
        <w:lang w:val="pt-PT" w:eastAsia="pt-BR"/>
      </w:rPr>
      <w:t>Qualis</w:t>
    </w:r>
    <w:proofErr w:type="spellEnd"/>
    <w:r w:rsidRPr="00024398">
      <w:rPr>
        <w:rFonts w:ascii="Cambria" w:eastAsia="Arial MT" w:hAnsi="Cambria" w:cs="Arial MT"/>
        <w:b/>
        <w:bCs/>
        <w:kern w:val="2"/>
        <w:sz w:val="16"/>
        <w:szCs w:val="16"/>
        <w:lang w:val="pt-PT" w:eastAsia="pt-BR"/>
      </w:rPr>
      <w:t xml:space="preserve"> B2</w:t>
    </w:r>
    <w:r w:rsidRPr="00024398">
      <w:rPr>
        <w:rFonts w:ascii="Cambria" w:eastAsia="Arial MT" w:hAnsi="Cambria" w:cs="Arial MT"/>
        <w:kern w:val="2"/>
        <w:sz w:val="16"/>
        <w:szCs w:val="16"/>
        <w:lang w:val="pt-PT" w:eastAsia="pt-BR"/>
      </w:rPr>
      <w:t xml:space="preserve"> - </w:t>
    </w:r>
    <w:r w:rsidRPr="00024398">
      <w:rPr>
        <w:rFonts w:ascii="Cambria" w:eastAsia="Arial MT" w:hAnsi="Cambria" w:cs="Arial MT"/>
        <w:b/>
        <w:bCs/>
        <w:kern w:val="2"/>
        <w:sz w:val="16"/>
        <w:szCs w:val="16"/>
        <w:lang w:val="pt-PT" w:eastAsia="pt-BR"/>
      </w:rPr>
      <w:t>ISSN: 2675-6595</w:t>
    </w:r>
  </w:p>
  <w:p w14:paraId="71279A66"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8"/>
        <w:szCs w:val="18"/>
        <w:lang w:val="pt-PT" w:eastAsia="pt-BR"/>
      </w:rPr>
    </w:pPr>
    <w:r w:rsidRPr="00024398">
      <w:rPr>
        <w:rFonts w:ascii="Cambria" w:eastAsia="Arial MT" w:hAnsi="Cambria" w:cs="Arial MT"/>
        <w:kern w:val="2"/>
        <w:sz w:val="18"/>
        <w:szCs w:val="18"/>
        <w:lang w:val="pt-PT" w:eastAsia="pt-BR"/>
      </w:rPr>
      <w:t>Página da revista:</w:t>
    </w:r>
  </w:p>
  <w:p w14:paraId="175B1F5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709"/>
      <w:rPr>
        <w:rFonts w:ascii="Cambria" w:eastAsia="Arial MT" w:hAnsi="Cambria" w:cs="Arial MT"/>
        <w:color w:val="0563C1"/>
        <w:kern w:val="2"/>
        <w:sz w:val="18"/>
        <w:szCs w:val="18"/>
        <w:lang w:val="pt-PT" w:eastAsia="pt-BR"/>
      </w:rPr>
    </w:pPr>
    <w:r w:rsidRPr="00024398">
      <w:rPr>
        <w:rFonts w:ascii="Cambria" w:eastAsia="Arial MT" w:hAnsi="Cambria" w:cs="Arial MT"/>
        <w:noProof/>
        <w:sz w:val="22"/>
        <w:szCs w:val="22"/>
        <w:lang w:val="pt-PT" w:eastAsia="pt-BR"/>
      </w:rPr>
      <mc:AlternateContent>
        <mc:Choice Requires="wps">
          <w:drawing>
            <wp:anchor distT="0" distB="0" distL="0" distR="0" simplePos="0" relativeHeight="251661312" behindDoc="1" locked="0" layoutInCell="1" allowOverlap="1" wp14:anchorId="504E66FC" wp14:editId="6AD1B174">
              <wp:simplePos x="0" y="0"/>
              <wp:positionH relativeFrom="page">
                <wp:posOffset>-5715</wp:posOffset>
              </wp:positionH>
              <wp:positionV relativeFrom="paragraph">
                <wp:posOffset>165735</wp:posOffset>
              </wp:positionV>
              <wp:extent cx="6877050" cy="45085"/>
              <wp:effectExtent l="0" t="0" r="0" b="0"/>
              <wp:wrapTopAndBottom/>
              <wp:docPr id="164091694" name="Retâ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77050" cy="450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76D37" id="Retângulo 34" o:spid="_x0000_s1026" style="position:absolute;margin-left:-.45pt;margin-top:13.05pt;width:541.5pt;height:3.5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" fillcolor="black" stroked="f">
              <w10:wrap type="topAndBottom" anchorx="page"/>
            </v:rect>
          </w:pict>
        </mc:Fallback>
      </mc:AlternateContent>
    </w:r>
    <w:r w:rsidRPr="00024398">
      <w:rPr>
        <w:rFonts w:ascii="Cambria" w:eastAsia="Arial MT" w:hAnsi="Cambria" w:cs="Arial MT"/>
        <w:color w:val="0563C1"/>
        <w:kern w:val="2"/>
        <w:sz w:val="13"/>
        <w:szCs w:val="13"/>
        <w:lang w:eastAsia="pt-BR"/>
      </w:rPr>
      <w:t xml:space="preserve">   RESENHA</w:t>
    </w:r>
    <w:r w:rsidRPr="00024398">
      <w:rPr>
        <w:rFonts w:ascii="Cambria" w:eastAsia="Arial MT" w:hAnsi="Cambria" w:cs="Arial MT"/>
        <w:color w:val="0563C1"/>
        <w:kern w:val="2"/>
        <w:sz w:val="13"/>
        <w:szCs w:val="13"/>
        <w:lang w:eastAsia="pt-BR"/>
      </w:rPr>
      <w:tab/>
      <w:t xml:space="preserve">       </w:t>
    </w:r>
    <w:r w:rsidRPr="00024398">
      <w:rPr>
        <w:rFonts w:ascii="Cambria" w:eastAsia="Arial MT" w:hAnsi="Cambria" w:cs="Arial MT"/>
        <w:color w:val="0563C1"/>
        <w:kern w:val="2"/>
        <w:sz w:val="13"/>
        <w:szCs w:val="13"/>
        <w:lang w:eastAsia="pt-BR"/>
      </w:rPr>
      <w:tab/>
    </w:r>
    <w:hyperlink r:id="rId3" w:history="1">
      <w:r w:rsidRPr="00024398">
        <w:rPr>
          <w:rFonts w:ascii="Cambria" w:eastAsia="Arial MT" w:hAnsi="Cambria" w:cs="Arial MT"/>
          <w:color w:val="0563C1"/>
          <w:kern w:val="2"/>
          <w:sz w:val="18"/>
          <w:szCs w:val="18"/>
          <w:lang w:eastAsia="pt-BR"/>
        </w:rPr>
        <w:t>https://periodicos.processus.com.br/index.php/multi/index</w:t>
      </w:r>
    </w:hyperlink>
  </w:p>
  <w:p w14:paraId="2EE2ACC2" w14:textId="77777777" w:rsidR="00024398" w:rsidRDefault="00024398">
    <w:pPr>
      <w:pStyle w:val="Cabealho"/>
    </w:pPr>
  </w:p>
</w:hdr>
</file>

<file path=word/intelligence2.xml><?xml version="1.0" encoding="utf-8"?>
<int2:intelligence xmlns:int2="http://schemas.microsoft.com/office/intelligence/2020/intelligence" xmlns:oel="http://schemas.microsoft.com/office/2019/extlst">
  <int2:observations>
    <int2:textHash int2:hashCode="vH7z1eg0V8Sn2d" int2:id="a0wSKLKk">
      <int2:state int2:value="Rejected" int2:type="spell"/>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E31359"/>
    <w:rsid w:val="00024398"/>
    <w:rsid w:val="000328C0"/>
    <w:rsid w:val="00097649"/>
    <w:rsid w:val="001224E9"/>
    <w:rsid w:val="0013092F"/>
    <w:rsid w:val="001A208C"/>
    <w:rsid w:val="002F799A"/>
    <w:rsid w:val="003160E9"/>
    <w:rsid w:val="00474FB5"/>
    <w:rsid w:val="004D21C0"/>
    <w:rsid w:val="00517126"/>
    <w:rsid w:val="00591CBB"/>
    <w:rsid w:val="005A23BF"/>
    <w:rsid w:val="005F1525"/>
    <w:rsid w:val="0064733A"/>
    <w:rsid w:val="00662EBB"/>
    <w:rsid w:val="006A5362"/>
    <w:rsid w:val="006B1474"/>
    <w:rsid w:val="00760FAB"/>
    <w:rsid w:val="00776F63"/>
    <w:rsid w:val="007A0A37"/>
    <w:rsid w:val="0093718A"/>
    <w:rsid w:val="00950467"/>
    <w:rsid w:val="00A17BCA"/>
    <w:rsid w:val="00A27A51"/>
    <w:rsid w:val="00AE697D"/>
    <w:rsid w:val="00C47A82"/>
    <w:rsid w:val="00CE4734"/>
    <w:rsid w:val="00CE777D"/>
    <w:rsid w:val="00E4774D"/>
    <w:rsid w:val="00E56CF4"/>
    <w:rsid w:val="00F62444"/>
    <w:rsid w:val="07AAFFE1"/>
    <w:rsid w:val="0B36EAEF"/>
    <w:rsid w:val="0B4F4ECC"/>
    <w:rsid w:val="0C10093E"/>
    <w:rsid w:val="12DA1AC1"/>
    <w:rsid w:val="142E2A0E"/>
    <w:rsid w:val="14403F02"/>
    <w:rsid w:val="167DDB34"/>
    <w:rsid w:val="195A8401"/>
    <w:rsid w:val="1A515C66"/>
    <w:rsid w:val="1C330C38"/>
    <w:rsid w:val="1C4CC18E"/>
    <w:rsid w:val="1DE1EF26"/>
    <w:rsid w:val="1DEC130A"/>
    <w:rsid w:val="2159B61B"/>
    <w:rsid w:val="21D6F76C"/>
    <w:rsid w:val="21DF1592"/>
    <w:rsid w:val="22CB0867"/>
    <w:rsid w:val="2871A401"/>
    <w:rsid w:val="2AA113D9"/>
    <w:rsid w:val="2ABC07C4"/>
    <w:rsid w:val="2E46767E"/>
    <w:rsid w:val="2EC2B5A8"/>
    <w:rsid w:val="324CD92B"/>
    <w:rsid w:val="3350B526"/>
    <w:rsid w:val="3601EE11"/>
    <w:rsid w:val="37A47C25"/>
    <w:rsid w:val="3AD7AFC1"/>
    <w:rsid w:val="3AF53FFA"/>
    <w:rsid w:val="3CE92315"/>
    <w:rsid w:val="3F2A669B"/>
    <w:rsid w:val="40960C0D"/>
    <w:rsid w:val="42591EB8"/>
    <w:rsid w:val="4310E771"/>
    <w:rsid w:val="45419A90"/>
    <w:rsid w:val="485B2972"/>
    <w:rsid w:val="4983D353"/>
    <w:rsid w:val="4B689168"/>
    <w:rsid w:val="4B930804"/>
    <w:rsid w:val="4BC288EC"/>
    <w:rsid w:val="4BC6145E"/>
    <w:rsid w:val="4D113577"/>
    <w:rsid w:val="4DEF70FC"/>
    <w:rsid w:val="4EC0AF3A"/>
    <w:rsid w:val="5165CE23"/>
    <w:rsid w:val="59CD3DEE"/>
    <w:rsid w:val="5AE31359"/>
    <w:rsid w:val="5C56B21A"/>
    <w:rsid w:val="5E49893D"/>
    <w:rsid w:val="5EF1D9FC"/>
    <w:rsid w:val="603B44A6"/>
    <w:rsid w:val="628F877D"/>
    <w:rsid w:val="63CF8994"/>
    <w:rsid w:val="663F1504"/>
    <w:rsid w:val="6756D55E"/>
    <w:rsid w:val="67854CC5"/>
    <w:rsid w:val="681FD482"/>
    <w:rsid w:val="69AAEADF"/>
    <w:rsid w:val="6C1BE3EC"/>
    <w:rsid w:val="6FFC5F96"/>
    <w:rsid w:val="7174FE10"/>
    <w:rsid w:val="71A660F9"/>
    <w:rsid w:val="748856FB"/>
    <w:rsid w:val="76283733"/>
    <w:rsid w:val="7BAFC189"/>
    <w:rsid w:val="7CFBFB2A"/>
    <w:rsid w:val="7F2D87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1359"/>
  <w15:chartTrackingRefBased/>
  <w15:docId w15:val="{62D65A3F-307E-4842-953F-C87E1C2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40960C0D"/>
    <w:rPr>
      <w:color w:val="467886"/>
      <w:u w:val="single"/>
    </w:rPr>
  </w:style>
  <w:style w:type="paragraph" w:styleId="Rodap">
    <w:name w:val="footer"/>
    <w:basedOn w:val="Normal"/>
    <w:link w:val="RodapChar"/>
    <w:uiPriority w:val="99"/>
    <w:unhideWhenUsed/>
    <w:rsid w:val="00A27A51"/>
    <w:pPr>
      <w:tabs>
        <w:tab w:val="center" w:pos="4252"/>
        <w:tab w:val="right" w:pos="8504"/>
      </w:tabs>
      <w:spacing w:after="0" w:line="240" w:lineRule="auto"/>
    </w:pPr>
  </w:style>
  <w:style w:type="character" w:customStyle="1" w:styleId="RodapChar">
    <w:name w:val="Rodapé Char"/>
    <w:basedOn w:val="Fontepargpadro"/>
    <w:link w:val="Rodap"/>
    <w:uiPriority w:val="99"/>
    <w:rsid w:val="00A27A51"/>
  </w:style>
  <w:style w:type="paragraph" w:styleId="Cabealho">
    <w:name w:val="header"/>
    <w:basedOn w:val="Normal"/>
    <w:link w:val="CabealhoChar"/>
    <w:uiPriority w:val="99"/>
    <w:unhideWhenUsed/>
    <w:rsid w:val="00A27A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7A51"/>
  </w:style>
  <w:style w:type="paragraph" w:styleId="Reviso">
    <w:name w:val="Revision"/>
    <w:hidden/>
    <w:uiPriority w:val="99"/>
    <w:semiHidden/>
    <w:rsid w:val="002F799A"/>
    <w:pPr>
      <w:spacing w:after="0" w:line="240" w:lineRule="auto"/>
    </w:pPr>
  </w:style>
  <w:style w:type="character" w:styleId="MenoPendente">
    <w:name w:val="Unresolved Mention"/>
    <w:basedOn w:val="Fontepargpadro"/>
    <w:uiPriority w:val="99"/>
    <w:semiHidden/>
    <w:unhideWhenUsed/>
    <w:rsid w:val="002F799A"/>
    <w:rPr>
      <w:color w:val="605E5C"/>
      <w:shd w:val="clear" w:color="auto" w:fill="E1DFDD"/>
    </w:rPr>
  </w:style>
  <w:style w:type="character" w:styleId="Refdecomentrio">
    <w:name w:val="annotation reference"/>
    <w:basedOn w:val="Fontepargpadro"/>
    <w:uiPriority w:val="99"/>
    <w:semiHidden/>
    <w:unhideWhenUsed/>
    <w:rsid w:val="00097649"/>
    <w:rPr>
      <w:sz w:val="16"/>
      <w:szCs w:val="16"/>
    </w:rPr>
  </w:style>
  <w:style w:type="paragraph" w:styleId="Textodecomentrio">
    <w:name w:val="annotation text"/>
    <w:basedOn w:val="Normal"/>
    <w:link w:val="TextodecomentrioChar"/>
    <w:uiPriority w:val="99"/>
    <w:unhideWhenUsed/>
    <w:rsid w:val="00097649"/>
    <w:pPr>
      <w:spacing w:line="240" w:lineRule="auto"/>
    </w:pPr>
    <w:rPr>
      <w:sz w:val="20"/>
      <w:szCs w:val="20"/>
    </w:rPr>
  </w:style>
  <w:style w:type="character" w:customStyle="1" w:styleId="TextodecomentrioChar">
    <w:name w:val="Texto de comentário Char"/>
    <w:basedOn w:val="Fontepargpadro"/>
    <w:link w:val="Textodecomentrio"/>
    <w:uiPriority w:val="99"/>
    <w:rsid w:val="00097649"/>
    <w:rPr>
      <w:sz w:val="20"/>
      <w:szCs w:val="20"/>
    </w:rPr>
  </w:style>
  <w:style w:type="paragraph" w:styleId="Assuntodocomentrio">
    <w:name w:val="annotation subject"/>
    <w:basedOn w:val="Textodecomentrio"/>
    <w:next w:val="Textodecomentrio"/>
    <w:link w:val="AssuntodocomentrioChar"/>
    <w:uiPriority w:val="99"/>
    <w:semiHidden/>
    <w:unhideWhenUsed/>
    <w:rsid w:val="00097649"/>
    <w:rPr>
      <w:b/>
      <w:bCs/>
    </w:rPr>
  </w:style>
  <w:style w:type="character" w:customStyle="1" w:styleId="AssuntodocomentrioChar">
    <w:name w:val="Assunto do comentário Char"/>
    <w:basedOn w:val="TextodecomentrioChar"/>
    <w:link w:val="Assuntodocomentrio"/>
    <w:uiPriority w:val="99"/>
    <w:semiHidden/>
    <w:rsid w:val="00097649"/>
    <w:rPr>
      <w:b/>
      <w:bCs/>
      <w:sz w:val="20"/>
      <w:szCs w:val="20"/>
    </w:rPr>
  </w:style>
  <w:style w:type="paragraph" w:styleId="Textodenotaderodap">
    <w:name w:val="footnote text"/>
    <w:basedOn w:val="Normal"/>
    <w:link w:val="TextodenotaderodapChar"/>
    <w:uiPriority w:val="99"/>
    <w:semiHidden/>
    <w:unhideWhenUsed/>
    <w:rsid w:val="005171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17126"/>
    <w:rPr>
      <w:sz w:val="20"/>
      <w:szCs w:val="20"/>
    </w:rPr>
  </w:style>
  <w:style w:type="character" w:styleId="Refdenotaderodap">
    <w:name w:val="footnote reference"/>
    <w:basedOn w:val="Fontepargpadro"/>
    <w:uiPriority w:val="99"/>
    <w:semiHidden/>
    <w:unhideWhenUsed/>
    <w:rsid w:val="00517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periodicos.processus.com.br/index.php/multi/index" TargetMode="External"/><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F7AB6-E5D3-4B45-B9A4-A40982A5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1501</Words>
  <Characters>8109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Deiwylla Regia Magalhaes De Oliveira</dc:creator>
  <cp:keywords/>
  <dc:description/>
  <cp:lastModifiedBy>Microsoft Office User</cp:lastModifiedBy>
  <cp:revision>3</cp:revision>
  <dcterms:created xsi:type="dcterms:W3CDTF">2025-11-14T18:25:00Z</dcterms:created>
  <dcterms:modified xsi:type="dcterms:W3CDTF">2026-07-17T20:26:00Z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31a7c39c,8d3fac3,610cd356</vt:lpwstr>
  </property>
  <property fmtid="{D5CDD505-2E9C-101B-9397-08002B2CF9AE}" pid="3" name="ClassificationContentMarkingFooterFontProps">
    <vt:lpwstr>#000000,8,Aptos</vt:lpwstr>
  </property>
  <property fmtid="{D5CDD505-2E9C-101B-9397-08002B2CF9AE}" pid="4" name="ClassificationContentMarkingFooterText">
    <vt:lpwstr>Este documento foi classificado como informação confidencial e é destinado exclusivamente aos destinatários específicos. Não compartilhe esta informação sem autorização.</vt:lpwstr>
  </property>
  <property fmtid="{D5CDD505-2E9C-101B-9397-08002B2CF9AE}" pid="5" name="MSIP_Label_f352b54b-7b1b-498b-81a1-90be43068ebc_Enabled">
    <vt:lpwstr>true</vt:lpwstr>
  </property>
  <property fmtid="{D5CDD505-2E9C-101B-9397-08002B2CF9AE}" pid="6" name="MSIP_Label_f352b54b-7b1b-498b-81a1-90be43068ebc_SetDate">
    <vt:lpwstr>2025-11-13T17:49:39Z</vt:lpwstr>
  </property>
  <property fmtid="{D5CDD505-2E9C-101B-9397-08002B2CF9AE}" pid="7" name="MSIP_Label_f352b54b-7b1b-498b-81a1-90be43068ebc_Method">
    <vt:lpwstr>Privileged</vt:lpwstr>
  </property>
  <property fmtid="{D5CDD505-2E9C-101B-9397-08002B2CF9AE}" pid="8" name="MSIP_Label_f352b54b-7b1b-498b-81a1-90be43068ebc_Name">
    <vt:lpwstr>Este documento foi classificado como informação CONFIDENCIAL.</vt:lpwstr>
  </property>
  <property fmtid="{D5CDD505-2E9C-101B-9397-08002B2CF9AE}" pid="9" name="MSIP_Label_f352b54b-7b1b-498b-81a1-90be43068ebc_SiteId">
    <vt:lpwstr>8609bc5b-7aca-4204-b4b0-ce9cf9002e53</vt:lpwstr>
  </property>
  <property fmtid="{D5CDD505-2E9C-101B-9397-08002B2CF9AE}" pid="10" name="MSIP_Label_f352b54b-7b1b-498b-81a1-90be43068ebc_ActionId">
    <vt:lpwstr>684d67c3-6887-4336-9615-5a2952497059</vt:lpwstr>
  </property>
  <property fmtid="{D5CDD505-2E9C-101B-9397-08002B2CF9AE}" pid="11" name="MSIP_Label_f352b54b-7b1b-498b-81a1-90be43068ebc_ContentBits">
    <vt:lpwstr>2</vt:lpwstr>
  </property>
  <property fmtid="{D5CDD505-2E9C-101B-9397-08002B2CF9AE}" pid="12" name="MSIP_Label_f352b54b-7b1b-498b-81a1-90be43068ebc_Tag">
    <vt:lpwstr>10, 0, 1, 1</vt:lpwstr>
  </property>
</Properties>
</file>